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Pr="0005251A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05251A">
        <w:rPr>
          <w:b/>
          <w:bCs/>
        </w:rPr>
        <w:t>мебели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581EBD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64</w:t>
      </w:r>
      <w:r w:rsidR="0048573A">
        <w:rPr>
          <w:b/>
          <w:lang w:eastAsia="x-none"/>
        </w:rPr>
        <w:t>99</w:t>
      </w:r>
      <w:r w:rsidR="0005251A">
        <w:rPr>
          <w:b/>
          <w:lang w:eastAsia="x-none"/>
        </w:rPr>
        <w:t>2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/ГОС/Э/0</w:t>
      </w:r>
      <w:r w:rsidR="00BF7365">
        <w:rPr>
          <w:b/>
          <w:lang w:eastAsia="x-none"/>
        </w:rPr>
        <w:t>5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BF7365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581EBD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64</w:t>
            </w:r>
            <w:r w:rsidR="0048573A">
              <w:rPr>
                <w:color w:val="FF0000"/>
              </w:rPr>
              <w:t>99</w:t>
            </w:r>
            <w:r w:rsidR="0005251A">
              <w:rPr>
                <w:color w:val="FF0000"/>
              </w:rPr>
              <w:t>2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МИ/ГОС/Э/0</w:t>
            </w:r>
            <w:r w:rsidR="00BF7365">
              <w:rPr>
                <w:color w:val="FF0000"/>
              </w:rPr>
              <w:t>5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05251A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05251A">
              <w:rPr>
                <w:color w:val="FF0000"/>
              </w:rPr>
              <w:t>мебели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334C" w:rsidRPr="00D9334C" w:rsidRDefault="0005251A" w:rsidP="00D9334C">
            <w:pPr>
              <w:rPr>
                <w:b/>
                <w:color w:val="FF0000"/>
              </w:rPr>
            </w:pPr>
            <w:r w:rsidRPr="0005251A">
              <w:rPr>
                <w:b/>
                <w:color w:val="FF0000"/>
              </w:rPr>
              <w:t>11 095 988,13</w:t>
            </w:r>
            <w:r w:rsidR="00D9334C">
              <w:rPr>
                <w:b/>
                <w:color w:val="FF0000"/>
              </w:rPr>
              <w:t xml:space="preserve"> руб. без НДС</w:t>
            </w:r>
          </w:p>
          <w:p w:rsidR="0005251A" w:rsidRDefault="0005251A" w:rsidP="00D9334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</w:t>
            </w:r>
            <w:r w:rsidRPr="0005251A">
              <w:rPr>
                <w:b/>
                <w:color w:val="FF0000"/>
              </w:rPr>
              <w:t>2 219 197,62</w:t>
            </w:r>
            <w:r w:rsidR="00D9334C">
              <w:rPr>
                <w:b/>
                <w:color w:val="FF0000"/>
              </w:rPr>
              <w:t xml:space="preserve"> руб. НДС 20%</w:t>
            </w:r>
          </w:p>
          <w:p w:rsidR="00D9334C" w:rsidRDefault="0005251A" w:rsidP="00D9334C">
            <w:pPr>
              <w:rPr>
                <w:b/>
                <w:color w:val="FF0000"/>
              </w:rPr>
            </w:pPr>
            <w:r w:rsidRPr="0005251A">
              <w:rPr>
                <w:b/>
                <w:color w:val="FF0000"/>
              </w:rPr>
              <w:t>13 315 185,75</w:t>
            </w:r>
            <w:r w:rsidR="00D9334C" w:rsidRPr="00D9334C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 xml:space="preserve">Расчет цены Заявки необходимо выполнять с учетом всех затрат, налогов, пошлин и сборов согласно </w:t>
            </w:r>
            <w:r w:rsidRPr="00160E14">
              <w:lastRenderedPageBreak/>
              <w:t>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48573A" w:rsidRDefault="0048573A" w:rsidP="0048573A">
            <w:r>
              <w:t xml:space="preserve">Оплата ТМЦ, поставленных Поставщиком Покупателю по Договору, осуществляется в следующем порядке: </w:t>
            </w:r>
          </w:p>
          <w:p w:rsidR="00AA7EB2" w:rsidRPr="00B85360" w:rsidRDefault="0048573A" w:rsidP="0048573A">
            <w:pPr>
              <w:rPr>
                <w:i/>
              </w:rPr>
            </w:pPr>
            <w:r>
              <w:t>Покупатель производит оплату по факту выполнения поставки ТМЦ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>(размер, форма ,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lastRenderedPageBreak/>
              <w:t xml:space="preserve">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010C2D" w:rsidRDefault="00E95FBB" w:rsidP="00E95FBB">
            <w:pPr>
              <w:jc w:val="both"/>
            </w:pPr>
            <w:r w:rsidRPr="00E95FBB">
              <w:rPr>
                <w:bCs/>
                <w:sz w:val="22"/>
                <w:szCs w:val="22"/>
              </w:rPr>
              <w:t xml:space="preserve">2.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595077" w:rsidRDefault="00010C2D" w:rsidP="000330BF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менеджмента качества требованиям стандарта СТО ГАЗПРОМ 9001 (при наличии). </w:t>
            </w:r>
          </w:p>
          <w:p w:rsidR="00AA7EB2" w:rsidRPr="00B85360" w:rsidRDefault="00AA7EB2" w:rsidP="000330BF">
            <w:pPr>
              <w:jc w:val="both"/>
            </w:pPr>
            <w:r>
              <w:t>3. Копия</w:t>
            </w:r>
            <w:r w:rsidRPr="00804B1F">
              <w:t xml:space="preserve"> сертификата соответствия Системы добровольной сертификации</w:t>
            </w:r>
            <w:r>
              <w:t xml:space="preserve"> </w:t>
            </w:r>
            <w:r w:rsidRPr="00804B1F">
              <w:t>ИНТЕРГАЗСЕРТ</w:t>
            </w:r>
            <w:r>
              <w:t xml:space="preserve"> (при наличии).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6"/>
            <w:bookmarkEnd w:id="267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t xml:space="preserve">Условия определения нескольких </w:t>
            </w:r>
            <w:r w:rsidR="0019758F" w:rsidRPr="00B85360"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1C0664" w:rsidP="00BF7365">
            <w:r>
              <w:rPr>
                <w:color w:val="FF0000"/>
              </w:rPr>
              <w:t>0</w:t>
            </w:r>
            <w:r w:rsidR="00BF7365">
              <w:rPr>
                <w:color w:val="FF0000"/>
              </w:rPr>
              <w:t>5</w:t>
            </w:r>
            <w:bookmarkStart w:id="271" w:name="_GoBack"/>
            <w:bookmarkEnd w:id="271"/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65E70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20BC2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0A5E61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42423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96E22F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C49C6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52D7FA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03E03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05170D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573B8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9EF6C0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BF40CA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36E4E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75EE5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315217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758A70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302985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F16529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E4B5BC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EB2" w:rsidRDefault="00AA7EB2">
      <w:r>
        <w:separator/>
      </w:r>
    </w:p>
  </w:endnote>
  <w:endnote w:type="continuationSeparator" w:id="0">
    <w:p w:rsidR="00AA7EB2" w:rsidRDefault="00AA7EB2">
      <w:r>
        <w:continuationSeparator/>
      </w:r>
    </w:p>
  </w:endnote>
  <w:endnote w:type="continuationNotice" w:id="1">
    <w:p w:rsidR="00AA7EB2" w:rsidRDefault="00AA7E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8A51D9" w:rsidRDefault="00AA7EB2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AA7EB2" w:rsidRDefault="00AA7EB2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BF7365">
      <w:rPr>
        <w:noProof/>
        <w:sz w:val="20"/>
      </w:rPr>
      <w:t>16</w:t>
    </w:r>
    <w:r w:rsidRPr="008A51D9">
      <w:rPr>
        <w:sz w:val="20"/>
      </w:rPr>
      <w:fldChar w:fldCharType="end"/>
    </w:r>
  </w:p>
  <w:p w:rsidR="00AA7EB2" w:rsidRDefault="00AA7EB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757D07" w:rsidRDefault="00AA7EB2" w:rsidP="00757D07">
    <w:pPr>
      <w:pStyle w:val="ae"/>
    </w:pPr>
  </w:p>
  <w:p w:rsidR="00AA7EB2" w:rsidRDefault="00AA7EB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F825D6" w:rsidRDefault="00AA7EB2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AA7EB2" w:rsidRDefault="00AA7EB2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A7EB2" w:rsidRDefault="00AA7EB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EB2" w:rsidRDefault="00AA7EB2">
      <w:r>
        <w:separator/>
      </w:r>
    </w:p>
  </w:footnote>
  <w:footnote w:type="continuationSeparator" w:id="0">
    <w:p w:rsidR="00AA7EB2" w:rsidRDefault="00AA7EB2">
      <w:r>
        <w:continuationSeparator/>
      </w:r>
    </w:p>
  </w:footnote>
  <w:footnote w:type="continuationNotice" w:id="1">
    <w:p w:rsidR="00AA7EB2" w:rsidRDefault="00AA7EB2"/>
  </w:footnote>
  <w:footnote w:id="2">
    <w:p w:rsidR="00AA7EB2" w:rsidRPr="00B85360" w:rsidRDefault="00AA7EB2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AA7EB2" w:rsidRPr="00B85360" w:rsidRDefault="00AA7EB2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AA7EB2" w:rsidRPr="00B85360" w:rsidRDefault="00AA7EB2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AA7EB2" w:rsidRPr="00B85360" w:rsidRDefault="00AA7EB2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AA7EB2" w:rsidRPr="00B85360" w:rsidRDefault="00AA7EB2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AA7EB2" w:rsidRDefault="00AA7EB2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AA7EB2" w:rsidRPr="00B85360" w:rsidRDefault="00AA7EB2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AA7EB2" w:rsidRPr="00B85360" w:rsidRDefault="00AA7EB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AA7EB2" w:rsidRPr="00B85360" w:rsidRDefault="00AA7EB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AA7EB2" w:rsidRPr="00B85360" w:rsidRDefault="00AA7EB2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AA7EB2" w:rsidRPr="00B85360" w:rsidRDefault="00AA7EB2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AA7EB2" w:rsidRPr="00B85360" w:rsidRDefault="00AA7EB2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AA7EB2" w:rsidRPr="00B85360" w:rsidRDefault="00AA7EB2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AA7EB2" w:rsidRPr="00B85360" w:rsidRDefault="00AA7EB2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AA7EB2" w:rsidRPr="00B85360" w:rsidRDefault="00AA7EB2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A7EB2" w:rsidRPr="00711D68" w:rsidRDefault="00AA7EB2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A7EB2" w:rsidRDefault="00AA7EB2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A7EB2" w:rsidRDefault="00AA7EB2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A7EB2" w:rsidRDefault="00AA7EB2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A7EB2" w:rsidRDefault="00AA7EB2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A7EB2" w:rsidRPr="00CF5E92" w:rsidRDefault="00AA7EB2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E549CE" w:rsidRDefault="00AA7EB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7372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51A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573A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A7EB2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365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834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0EF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09CD0-5221-4A70-A929-5120BA3EC4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C8A09C-F381-4A2E-B871-098C5209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34</Pages>
  <Words>13801</Words>
  <Characters>78667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92284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44</cp:revision>
  <cp:lastPrinted>2019-01-25T09:19:00Z</cp:lastPrinted>
  <dcterms:created xsi:type="dcterms:W3CDTF">2019-01-23T11:48:00Z</dcterms:created>
  <dcterms:modified xsi:type="dcterms:W3CDTF">2019-09-05T12:02:00Z</dcterms:modified>
</cp:coreProperties>
</file>