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562D4D" w:rsidRDefault="000D1C42" w:rsidP="00B30B8B">
      <w:pPr>
        <w:jc w:val="center"/>
        <w:rPr>
          <w:b/>
          <w:lang w:val="en-US"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562D4D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987847">
        <w:rPr>
          <w:b/>
          <w:bCs/>
        </w:rPr>
        <w:t>общезаводского оборудования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581EBD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</w:t>
      </w:r>
      <w:r w:rsidR="00987847">
        <w:rPr>
          <w:b/>
          <w:lang w:eastAsia="x-none"/>
        </w:rPr>
        <w:t>883</w:t>
      </w:r>
      <w:r w:rsidR="00D06ED7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987847">
        <w:rPr>
          <w:b/>
          <w:lang w:eastAsia="x-none"/>
        </w:rPr>
        <w:t>/ГОС/Э/1</w:t>
      </w:r>
      <w:r w:rsidR="00727891">
        <w:rPr>
          <w:b/>
          <w:lang w:val="en-US" w:eastAsia="x-none"/>
        </w:rPr>
        <w:t>1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72789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581EBD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</w:t>
            </w:r>
            <w:r w:rsidR="00987847">
              <w:rPr>
                <w:color w:val="FF0000"/>
              </w:rPr>
              <w:t>883</w:t>
            </w:r>
            <w:r w:rsidR="00D06ED7">
              <w:rPr>
                <w:color w:val="FF0000"/>
              </w:rPr>
              <w:t>5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987847">
              <w:rPr>
                <w:color w:val="FF0000"/>
              </w:rPr>
              <w:t>МИ/ГОС/Э/1</w:t>
            </w:r>
            <w:r w:rsidR="00727891">
              <w:rPr>
                <w:color w:val="FF0000"/>
                <w:lang w:val="en-US"/>
              </w:rPr>
              <w:t>1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987847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987847">
              <w:rPr>
                <w:color w:val="FF0000"/>
              </w:rPr>
              <w:t>общезаводского оборудования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06ED7" w:rsidRPr="00D06ED7" w:rsidRDefault="00987847" w:rsidP="00D06ED7">
            <w:pPr>
              <w:rPr>
                <w:b/>
                <w:color w:val="FF0000"/>
              </w:rPr>
            </w:pPr>
            <w:r w:rsidRPr="00987847">
              <w:rPr>
                <w:b/>
                <w:color w:val="FF0000"/>
              </w:rPr>
              <w:t xml:space="preserve">1 127 </w:t>
            </w:r>
            <w:r w:rsidR="00F101D2">
              <w:rPr>
                <w:b/>
                <w:color w:val="FF0000"/>
              </w:rPr>
              <w:t>7</w:t>
            </w:r>
            <w:r w:rsidRPr="00987847">
              <w:rPr>
                <w:b/>
                <w:color w:val="FF0000"/>
              </w:rPr>
              <w:t>69,56</w:t>
            </w:r>
            <w:r w:rsidR="00D06ED7" w:rsidRPr="00D06ED7">
              <w:rPr>
                <w:b/>
                <w:color w:val="FF0000"/>
              </w:rPr>
              <w:t xml:space="preserve"> руб. без НДС</w:t>
            </w:r>
          </w:p>
          <w:p w:rsidR="00987847" w:rsidRDefault="00987847" w:rsidP="00D06ED7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Pr="00987847">
              <w:rPr>
                <w:b/>
                <w:color w:val="FF0000"/>
              </w:rPr>
              <w:t>222 553,91</w:t>
            </w:r>
            <w:r w:rsidR="00D06ED7" w:rsidRPr="00D06ED7">
              <w:rPr>
                <w:b/>
                <w:color w:val="FF0000"/>
              </w:rPr>
              <w:t xml:space="preserve"> руб. НДС 20%</w:t>
            </w:r>
          </w:p>
          <w:p w:rsidR="00D9334C" w:rsidRDefault="00987847" w:rsidP="00D06ED7">
            <w:pPr>
              <w:rPr>
                <w:b/>
                <w:color w:val="FF0000"/>
              </w:rPr>
            </w:pPr>
            <w:r w:rsidRPr="00987847">
              <w:rPr>
                <w:b/>
                <w:color w:val="FF0000"/>
              </w:rPr>
              <w:t>1 335 323,47</w:t>
            </w:r>
            <w:r w:rsidR="00D06ED7" w:rsidRPr="00D06ED7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D06ED7" w:rsidRPr="00D06ED7" w:rsidRDefault="00D06ED7" w:rsidP="00D06ED7">
            <w:pPr>
              <w:tabs>
                <w:tab w:val="left" w:pos="0"/>
                <w:tab w:val="left" w:pos="34"/>
              </w:tabs>
              <w:jc w:val="both"/>
              <w:rPr>
                <w:color w:val="000000"/>
              </w:rPr>
            </w:pPr>
            <w:r w:rsidRPr="00D06ED7">
              <w:rPr>
                <w:color w:val="000000"/>
              </w:rPr>
              <w:t xml:space="preserve">Оплата ТМЦ, поставленных Поставщиком Покупателю по Договору, осуществляется в следующем порядке: </w:t>
            </w:r>
          </w:p>
          <w:p w:rsidR="002B578F" w:rsidRPr="00B85360" w:rsidRDefault="00D06ED7" w:rsidP="00D06ED7">
            <w:pPr>
              <w:rPr>
                <w:i/>
              </w:rPr>
            </w:pPr>
            <w:r w:rsidRPr="00D06ED7">
              <w:rPr>
                <w:color w:val="000000"/>
              </w:rPr>
              <w:t>Покупатель производит оплату по факту выполнения поставки ТМЦ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 xml:space="preserve">(размер, </w:t>
            </w:r>
            <w:r w:rsidR="004A2F4E" w:rsidRPr="00B85360">
              <w:t>форма,</w:t>
            </w:r>
            <w:r w:rsidRPr="00B85360">
              <w:t xml:space="preserve">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  <w:p w:rsidR="004A2F4E" w:rsidRPr="00B85360" w:rsidRDefault="00806F81" w:rsidP="000330BF">
            <w:pPr>
              <w:jc w:val="both"/>
            </w:pPr>
            <w:r>
              <w:t xml:space="preserve">3. </w:t>
            </w:r>
            <w:r w:rsidRPr="00076EA7">
              <w:t>Копия сертификата соответствия Системы добровольной сертификации ИНТЕРГАЗСЕРТ (при наличии).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F101D2" w:rsidP="00727891">
            <w:r>
              <w:rPr>
                <w:color w:val="FF0000"/>
              </w:rPr>
              <w:t>1</w:t>
            </w:r>
            <w:r w:rsidR="00727891">
              <w:rPr>
                <w:color w:val="FF0000"/>
                <w:lang w:val="en-US"/>
              </w:rPr>
              <w:t>1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83957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A1E082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9B519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44CE19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DFF0A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800F9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4BEE6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1CA2A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45698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34FC0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55224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0C19AB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6AEC8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516D5F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5D5D9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F895A6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01152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03EF2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287FE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847" w:rsidRDefault="00987847">
      <w:r>
        <w:separator/>
      </w:r>
    </w:p>
  </w:endnote>
  <w:endnote w:type="continuationSeparator" w:id="0">
    <w:p w:rsidR="00987847" w:rsidRDefault="00987847">
      <w:r>
        <w:continuationSeparator/>
      </w:r>
    </w:p>
  </w:endnote>
  <w:endnote w:type="continuationNotice" w:id="1">
    <w:p w:rsidR="00987847" w:rsidRDefault="00987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8A51D9" w:rsidRDefault="00987847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987847" w:rsidRDefault="00987847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727891">
      <w:rPr>
        <w:noProof/>
        <w:sz w:val="20"/>
      </w:rPr>
      <w:t>19</w:t>
    </w:r>
    <w:r w:rsidRPr="008A51D9">
      <w:rPr>
        <w:sz w:val="20"/>
      </w:rPr>
      <w:fldChar w:fldCharType="end"/>
    </w:r>
  </w:p>
  <w:p w:rsidR="00987847" w:rsidRDefault="0098784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757D07" w:rsidRDefault="00987847" w:rsidP="00757D07">
    <w:pPr>
      <w:pStyle w:val="ae"/>
    </w:pPr>
  </w:p>
  <w:p w:rsidR="00987847" w:rsidRDefault="0098784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F825D6" w:rsidRDefault="00987847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987847" w:rsidRDefault="00987847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987847" w:rsidRDefault="0098784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847" w:rsidRDefault="00987847">
      <w:r>
        <w:separator/>
      </w:r>
    </w:p>
  </w:footnote>
  <w:footnote w:type="continuationSeparator" w:id="0">
    <w:p w:rsidR="00987847" w:rsidRDefault="00987847">
      <w:r>
        <w:continuationSeparator/>
      </w:r>
    </w:p>
  </w:footnote>
  <w:footnote w:type="continuationNotice" w:id="1">
    <w:p w:rsidR="00987847" w:rsidRDefault="00987847"/>
  </w:footnote>
  <w:footnote w:id="2">
    <w:p w:rsidR="00987847" w:rsidRPr="00B85360" w:rsidRDefault="00987847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987847" w:rsidRPr="00B85360" w:rsidRDefault="00987847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987847" w:rsidRPr="00B85360" w:rsidRDefault="00987847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987847" w:rsidRPr="00B85360" w:rsidRDefault="00987847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987847" w:rsidRPr="00B85360" w:rsidRDefault="00987847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987847" w:rsidRDefault="00987847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987847" w:rsidRPr="00B85360" w:rsidRDefault="00987847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987847" w:rsidRPr="00B85360" w:rsidRDefault="00987847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987847" w:rsidRPr="00B85360" w:rsidRDefault="00987847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987847" w:rsidRPr="00B85360" w:rsidRDefault="00987847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987847" w:rsidRPr="00B85360" w:rsidRDefault="00987847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987847" w:rsidRPr="00B85360" w:rsidRDefault="00987847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987847" w:rsidRPr="00B85360" w:rsidRDefault="009878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987847" w:rsidRPr="00B85360" w:rsidRDefault="00987847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987847" w:rsidRPr="00B85360" w:rsidRDefault="00987847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987847" w:rsidRPr="00B85360" w:rsidRDefault="00987847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987847" w:rsidRPr="00B85360" w:rsidRDefault="00987847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987847" w:rsidRPr="00B85360" w:rsidRDefault="00987847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987847" w:rsidRPr="00B85360" w:rsidRDefault="00987847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987847" w:rsidRPr="00B85360" w:rsidRDefault="00987847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987847" w:rsidRPr="00B85360" w:rsidRDefault="00987847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987847" w:rsidRPr="00711D68" w:rsidRDefault="00987847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87847" w:rsidRDefault="00987847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87847" w:rsidRDefault="00987847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987847" w:rsidRDefault="00987847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987847" w:rsidRDefault="00987847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987847" w:rsidRPr="00CF5E92" w:rsidRDefault="00987847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E549CE" w:rsidRDefault="00987847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Pr="00400921" w:rsidRDefault="00987847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47" w:rsidRDefault="0098784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7577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4E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92A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2D4D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891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6F81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87847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6ED7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D2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7725-99E3-41F7-9A5D-03F5E2F29F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4B365F-CBC3-46FD-99D9-75711BD04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34</Pages>
  <Words>13806</Words>
  <Characters>78700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92322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45</cp:revision>
  <cp:lastPrinted>2019-01-25T09:19:00Z</cp:lastPrinted>
  <dcterms:created xsi:type="dcterms:W3CDTF">2019-01-23T11:48:00Z</dcterms:created>
  <dcterms:modified xsi:type="dcterms:W3CDTF">2019-09-11T10:12:00Z</dcterms:modified>
</cp:coreProperties>
</file>