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AD2" w:rsidRPr="00160E14" w:rsidRDefault="00774AD2" w:rsidP="00774AD2">
      <w:pPr>
        <w:pStyle w:val="1"/>
        <w:keepNext w:val="0"/>
        <w:ind w:left="0"/>
        <w:jc w:val="right"/>
        <w:rPr>
          <w:b w:val="0"/>
          <w:i/>
          <w:sz w:val="20"/>
        </w:rPr>
      </w:pPr>
      <w:r>
        <w:rPr>
          <w:b w:val="0"/>
          <w:sz w:val="20"/>
        </w:rPr>
        <w:tab/>
      </w:r>
      <w:bookmarkStart w:id="0" w:name="_Toc530666102"/>
      <w:r w:rsidRPr="00160E14">
        <w:rPr>
          <w:b w:val="0"/>
          <w:i/>
          <w:sz w:val="20"/>
        </w:rPr>
        <w:t>Приложение 3</w:t>
      </w:r>
      <w:bookmarkEnd w:id="0"/>
      <w:r w:rsidRPr="00160E14">
        <w:rPr>
          <w:b w:val="0"/>
          <w:i/>
          <w:sz w:val="20"/>
        </w:rPr>
        <w:t xml:space="preserve"> </w:t>
      </w:r>
    </w:p>
    <w:p w:rsidR="00774AD2" w:rsidRDefault="00774AD2" w:rsidP="00774AD2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160E14">
        <w:rPr>
          <w:rFonts w:ascii="Times New Roman" w:hAnsi="Times New Roman"/>
          <w:i/>
          <w:sz w:val="20"/>
          <w:szCs w:val="20"/>
          <w:lang w:eastAsia="ru-RU"/>
        </w:rPr>
        <w:t>к документации о конкурентном отборе</w:t>
      </w:r>
      <w:r w:rsidRPr="00160E14">
        <w:rPr>
          <w:rFonts w:ascii="Times New Roman" w:hAnsi="Times New Roman"/>
          <w:i/>
          <w:sz w:val="20"/>
          <w:szCs w:val="20"/>
          <w:lang w:eastAsia="ru-RU"/>
        </w:rPr>
        <w:br/>
      </w:r>
      <w:r w:rsidRPr="00E4643F">
        <w:rPr>
          <w:rFonts w:ascii="Times New Roman" w:hAnsi="Times New Roman"/>
          <w:i/>
          <w:sz w:val="20"/>
          <w:szCs w:val="20"/>
          <w:lang w:eastAsia="ru-RU"/>
        </w:rPr>
        <w:t xml:space="preserve">№ 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0023/19/2.1/006</w:t>
      </w:r>
      <w:r w:rsidR="00316761">
        <w:rPr>
          <w:rFonts w:ascii="Times New Roman" w:hAnsi="Times New Roman"/>
          <w:b/>
          <w:i/>
          <w:sz w:val="20"/>
          <w:szCs w:val="20"/>
          <w:lang w:eastAsia="ru-RU"/>
        </w:rPr>
        <w:t>1465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/ДНоябрьск/К/ГОС/Э/1</w:t>
      </w:r>
      <w:r w:rsidR="00F35F1F">
        <w:rPr>
          <w:rFonts w:ascii="Times New Roman" w:hAnsi="Times New Roman"/>
          <w:b/>
          <w:i/>
          <w:sz w:val="20"/>
          <w:szCs w:val="20"/>
          <w:lang w:eastAsia="ru-RU"/>
        </w:rPr>
        <w:t>8</w:t>
      </w:r>
      <w:bookmarkStart w:id="1" w:name="_GoBack"/>
      <w:bookmarkEnd w:id="1"/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.0</w:t>
      </w:r>
      <w:r w:rsidR="00316761">
        <w:rPr>
          <w:rFonts w:ascii="Times New Roman" w:hAnsi="Times New Roman"/>
          <w:b/>
          <w:i/>
          <w:sz w:val="20"/>
          <w:szCs w:val="20"/>
          <w:lang w:eastAsia="ru-RU"/>
        </w:rPr>
        <w:t>9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.2019</w:t>
      </w:r>
    </w:p>
    <w:p w:rsidR="00774AD2" w:rsidRDefault="00774AD2" w:rsidP="00774AD2">
      <w:pPr>
        <w:tabs>
          <w:tab w:val="left" w:pos="13905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5762D" w:rsidRPr="00F5762D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 xml:space="preserve">Методика анализа и оценки заявок участников </w:t>
      </w:r>
      <w:r w:rsidR="00C64FA4">
        <w:rPr>
          <w:rFonts w:ascii="Times New Roman" w:eastAsia="Times New Roman" w:hAnsi="Times New Roman" w:cs="Times New Roman"/>
          <w:b/>
          <w:sz w:val="20"/>
          <w:szCs w:val="20"/>
        </w:rPr>
        <w:t>конкурентного отбора</w:t>
      </w: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F5762D" w:rsidRPr="00F5762D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5762D" w:rsidRPr="00F5762D" w:rsidRDefault="00F5762D" w:rsidP="00F5762D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>Раздел 1.  Анализ заявок на предмет соответствия Участника и состава заявок требованиям Документации*</w:t>
      </w:r>
    </w:p>
    <w:tbl>
      <w:tblPr>
        <w:tblW w:w="15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3649"/>
        <w:gridCol w:w="1933"/>
        <w:gridCol w:w="2091"/>
        <w:gridCol w:w="3649"/>
        <w:gridCol w:w="1206"/>
        <w:gridCol w:w="1316"/>
        <w:gridCol w:w="1514"/>
      </w:tblGrid>
      <w:tr w:rsidR="00F5762D" w:rsidRPr="00F5762D" w:rsidTr="00B277B2">
        <w:trPr>
          <w:trHeight w:val="20"/>
          <w:tblHeader/>
        </w:trPr>
        <w:tc>
          <w:tcPr>
            <w:tcW w:w="42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93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Документ представляемый участником закупки</w:t>
            </w:r>
          </w:p>
        </w:tc>
        <w:tc>
          <w:tcPr>
            <w:tcW w:w="209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  <w:tc>
          <w:tcPr>
            <w:tcW w:w="120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Соответствие требованиям (Да/Нет)</w:t>
            </w:r>
          </w:p>
        </w:tc>
        <w:tc>
          <w:tcPr>
            <w:tcW w:w="131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Комментарии и рекомендации эксперта</w:t>
            </w:r>
          </w:p>
        </w:tc>
        <w:tc>
          <w:tcPr>
            <w:tcW w:w="1514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Рекомендации по заполнению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1),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ценовое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и Техническое предложение (Форма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закупке.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предмета заявки предмету закупки, указанному в закупочной документации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товара, по которым выявлено несоответствие.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по количественным показателям (объема выполняемых работ/оказываемых услуг и общей длительности выполнения работ/оказания услуг)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</w:t>
            </w:r>
            <w:r w:rsid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ценовое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 и Техническое предложение (Форма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1.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объема выполняемых работ/оказываемых услуг и предлагаемых сроков выполнения работ/оказания услуг требованиям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заявки, эксперт указывает конкретные позиции, по которым выявлено несоответствие, а так же расхождения по объемам, срокам.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Заявки на участие в закупке (Форма 1).</w:t>
            </w:r>
          </w:p>
        </w:tc>
        <w:tc>
          <w:tcPr>
            <w:tcW w:w="209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Срок действия оферты (Форма 1).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Срок действия оферты (Форма 1), указанный в заявке менее срока установленного в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величину расхождения по срокам действия оферты с требованиями документации.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документов, определенных документацией о закупке, и отсутствие в таких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Заявка на участие в закупке, включая все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документы в её составе.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Полнота состава заявки, правильность оформления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документов и достоверность представленных сведений.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Отсутствие заполненных форм, несоответствие представленных в форме сведений требованиям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формы или недостоверность представленных сведений: В соответствии с п. 5 Документации о закупке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случае выявления причин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для отклонения заявки эксперт указывает конкретные документы не представленные в заявке, неправильно заполненные или имеющие недостоверные сведения. Под неправильно оформленными документами следует понимать, невозможность почерпнуть нужную информацию из представленной формы, документа.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Проверяется наличие документа. исоответствие представленных учредительных документов данным, указанным в выписке из ЕГРЮЛ/ЕГРИП.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C64F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Полученная не ранее </w:t>
            </w:r>
            <w:r w:rsidR="00600387">
              <w:rPr>
                <w:rFonts w:ascii="Times New Roman" w:hAnsi="Times New Roman" w:cs="Times New Roman"/>
                <w:sz w:val="16"/>
              </w:rPr>
              <w:t xml:space="preserve">6 календарных месяцев </w:t>
            </w:r>
            <w:r w:rsidR="00B277B2" w:rsidRPr="00B277B2">
              <w:rPr>
                <w:rFonts w:ascii="Times New Roman" w:hAnsi="Times New Roman" w:cs="Times New Roman"/>
                <w:sz w:val="16"/>
              </w:rPr>
              <w:t xml:space="preserve"> до даты опубликования Извещения о </w:t>
            </w:r>
            <w:r w:rsidR="00C64FA4">
              <w:rPr>
                <w:rFonts w:ascii="Times New Roman" w:hAnsi="Times New Roman" w:cs="Times New Roman"/>
                <w:sz w:val="16"/>
              </w:rPr>
              <w:t>конкурентном отборе</w:t>
            </w:r>
            <w:r w:rsidR="00B277B2"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(а если были изменения — то не ранее внесения таких изменений в соответствующий реестр) выписки из единого государственного реестра юридических лиц (для юридического лица), из единого государственного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реестра индивидуальных предпринимателей, копии документов, удостоверяющих личность (для физических лиц),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3.4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Российской Федерации, учредительными документации юридического лица и если для участника закупки выполнение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единоличным исполнительным органом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требований Федеральных законов по содержанию в зависимости от организационно - правовой формы участника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3.5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об отсутствии у участника закупки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предмета договора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судимости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за преступления в сфере экономики;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Примененное в отношении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1933" w:type="dxa"/>
          </w:tcPr>
          <w:p w:rsidR="006B04B9" w:rsidRPr="00F11525" w:rsidRDefault="006B04B9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Таблица, заполненная по форме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Подтверждение раскрытия информации. Полнота сведений и документов.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Соответствие подтверждающих документов указанным сведениям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назначения.  Не раскрытие/ неполное раскрытие сведений о цепочке собственников. - Непредставление документов, подтверждающих сведения, указанные в таблице.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Отсутствие задолженности по уплате налогов, сборов, пеней и штрафов, срок уплаты по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Справка из налогового органа об отсутствии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Отсутствие задолженности по уплате налогов, сборов,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пеней и штрафов.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Наличие задолженности, по уплате налогов, сборов, пеней и штрафов более 25%  балансовой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стоимости активов Участника по данным бухгалтерской отчетности за последний завершенный отчетный период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5.2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закупке какие-либо процедуры банкротства, а также что, на его имущество не наложен арест (в соответствии с Федеральным законом «О несостоятельности (банкротстве)» от 26 октября 2002 года № 127-Ф3).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Наличие процедуры банкротства.</w:t>
            </w:r>
          </w:p>
        </w:tc>
        <w:tc>
          <w:tcPr>
            <w:tcW w:w="120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Уровень финансового состояния и обеспеченности финансовыми ресурсами участника закупки (если требование содержится в документации о закупке)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Копии баланса за прошедший год с отметкой налогового органа о приёме, либо с приложением документов, подтверждающих сдачу баланса в налоговый орган;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Копии отчета о финансовых результатов за последние 2 года с отметкой налогового органа о приёме, либо с приложением документов, подтверждающих сдачу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отчета в налоговый орган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Для индивидуальных предпринимателей – копии налоговых деклараций за последние 2 года с отметкой налогового органа о приеме, либо с приложением документов, подтверждающих сдачу деклараций в налоговый орган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Уровень финансовой стабильности участника</w:t>
            </w:r>
          </w:p>
        </w:tc>
        <w:tc>
          <w:tcPr>
            <w:tcW w:w="3649" w:type="dxa"/>
          </w:tcPr>
          <w:p w:rsidR="006B04B9" w:rsidRPr="00F11525" w:rsidRDefault="006B04B9" w:rsidP="00B27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Максимальная годов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ая выручка за последние 3 года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менее 30% от НМЦЗ.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% выручки участника закупки за предыдущий год по отношению к начальной (максимальной) цене закупки.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Согласие участника закупки с условиями проекта договора, содержащегося в документации о закупке.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вки на участие в закупке (Форма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1) и иные документы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Письма о подаче Заявки на участие в закупке (Форма 1) с изменениями условий проекта договора. 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перечисляет конкретные документы, из которых следует, что участник не согласен с договором.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предложения о цене договора (цене лота) (товаров, работ, услуг, являющихся предметом закупки), не превышающего установленную начальную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(максимальную) цену договора закупки (лота).</w:t>
            </w:r>
          </w:p>
        </w:tc>
        <w:tc>
          <w:tcPr>
            <w:tcW w:w="1933" w:type="dxa"/>
          </w:tcPr>
          <w:p w:rsidR="006B04B9" w:rsidRPr="00F11525" w:rsidRDefault="00AB56FE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Ценовое </w:t>
            </w:r>
            <w:r w:rsidR="006B04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 1.1</w:t>
            </w:r>
            <w:r w:rsidR="006B04B9"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внесенные Участником закупки в форму «Заявка на участие в процедуре» на торговой площадке.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</w:t>
            </w:r>
          </w:p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Соответствие цен в Форме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3649" w:type="dxa"/>
          </w:tcPr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Превышение НМЦ Несоответствие цен в Форме </w:t>
            </w:r>
            <w:r w:rsidR="00412658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позиции, по которым выявлено несоответствие.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Представление в установленные сроки участником закупки Организатору письменных разъяснений положений поданной им заявки на участие в закупке по письменному запросу Организатора, в том числе согласия с исправлением очевидных арифметических ошибок, расхождений между суммами, выраженными словами и цифрами, расхождений между единичной расценкой и общей суммой, полученной в результате умножения единичной расценки на количество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Ответ на запрос организатора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ответа и достаточность сведений, предоставленных в установленные сроки.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ответа на запрос в установленные сроки и недостаточность сведений.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Отсутствие сведений об участнике закупки, а также привлекаемых для выполнения работ (оказания услуг, поставки товаров) субподрядчиков/соисполнителей/субпоставщиков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Не предоставляется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Реестр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Участника закупки или привлекаемых субподрядчиков/соисполнителей/субпоставщиков 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каждого привлекаемого поставщика/ субподрядчика/ соисполнителя (в случае привлечения) выполняющего более 10% объема поставки/работ требованиям, установленным в документации о закупке.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Перечень документов для субподрядчика/ соисполнителя Участника.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(п. 3.8)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Аналогично соответствующему требованию к участнику закупки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любого из документов, требуемых документацией о закупке, на любого из привлекаемых поставщиков/ субподрядчиков/ соисполнителей,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любого из привлекаемых поставщиков/ субподрядчиков/ соисполнителей требованиям, установленным документацией о закупке.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случае, если привлекаемая участником компания является аффилированной компанией, или  входит   в один  холдинг, то такая компания не относится к субподрядным организациям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обеспечения заявки на участие в закупке, если в документации о закупке установлено данное требование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Банковская гарантия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оригинала безотзывной банковской гарантии. Блокировка денежных средств (для закупок в электронной форме)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банковской гарантии. Отсутствие необходимых средств для блокировки в момент подачи заявки в электронной форме на ЭТП ГПБ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документов, подтверждающих квалификацию участника, а так же возможность им выполнить работы/оказать услуги по предмету закупки</w:t>
            </w:r>
          </w:p>
        </w:tc>
        <w:tc>
          <w:tcPr>
            <w:tcW w:w="1933" w:type="dxa"/>
          </w:tcPr>
          <w:p w:rsidR="006B04B9" w:rsidRPr="004B2EA2" w:rsidRDefault="004B2EA2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Документы, подтверждающие квалификацию участника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2091" w:type="dxa"/>
          </w:tcPr>
          <w:p w:rsidR="006B04B9" w:rsidRPr="004B2EA2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Документов, подтверждающие квалификацию участника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(только в части обязательных документов документации)</w:t>
            </w:r>
          </w:p>
        </w:tc>
        <w:tc>
          <w:tcPr>
            <w:tcW w:w="3649" w:type="dxa"/>
          </w:tcPr>
          <w:p w:rsidR="006B04B9" w:rsidRPr="004B2EA2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Непредставление одного, или нескольких документов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какой именно документ не представлен.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Деловая репутация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деловой репутации Участника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Общая сумма всех судебных решений не в пользу участника закупки в качестве ответчика, связанных с изготовлением,, поставкой,  эксплуатацией продукции/выполнением работ/оказанием услуг за последние 3 года не должна превышать 20% начальной (максимальной0 цены предмета закупки. При этом, под суммой судебных решений понимается совокупность взысканных с участника закупки денежных средств в соответствии с решением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суда, в том числе задолженностей, неустоек, пени, процентов за пользование чужими денежными средствами, расходов по уплате госпошлин.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Общая сумма всех судебных решений не в пользу участника закупки в качестве ответчика, по неисполнению или ненадлежащему исполнению или ненадлежащему исполнению обязательств. Связанных с изготовлением, поставкой, эксплуатацией продукции/выполнением работ/оказанием услуг за последние 3 года не должна превышать 20% начальной (максимальной) цены предмета закупки.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</w:tbl>
    <w:p w:rsidR="00F5762D" w:rsidRPr="00FF2A57" w:rsidRDefault="00F5762D" w:rsidP="00F5762D">
      <w:pPr>
        <w:spacing w:after="0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 В данном </w:t>
      </w:r>
      <w:r w:rsidRPr="00FF2A57">
        <w:rPr>
          <w:rFonts w:ascii="Times New Roman" w:eastAsia="Times New Roman" w:hAnsi="Times NewRoman" w:cs="Times New Roman"/>
          <w:b/>
          <w:sz w:val="24"/>
          <w:szCs w:val="20"/>
        </w:rPr>
        <w:t>Р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азделе Методики представлены критерии, по которым Комиссия по подведению итогов  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конкурентного отбора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имеет право отклонить заявку Участника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 конкурентного отбора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F56922" w:rsidRDefault="00F56922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C0DCE" w:rsidRDefault="00F5762D" w:rsidP="00CC0DCE">
      <w:pPr>
        <w:rPr>
          <w:rFonts w:ascii="Times New Roman" w:hAnsi="Times New Roman" w:cs="Times New Roman"/>
          <w:b/>
          <w:sz w:val="20"/>
          <w:szCs w:val="20"/>
        </w:rPr>
      </w:pPr>
      <w:r w:rsidRPr="00F5762D">
        <w:rPr>
          <w:rFonts w:ascii="Times NewRoman" w:eastAsia="Times New Roman" w:hAnsi="Times New Roman" w:cs="Times New Roman"/>
          <w:sz w:val="20"/>
          <w:szCs w:val="20"/>
        </w:rPr>
        <w:br w:type="page"/>
      </w:r>
      <w:r w:rsidR="00CC0DCE" w:rsidRPr="00CC0D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Раздел 2. Опросный лист по критериям оценки Участников </w:t>
      </w:r>
      <w:r w:rsidR="00C64FA4">
        <w:rPr>
          <w:rFonts w:ascii="Times New Roman" w:hAnsi="Times New Roman" w:cs="Times New Roman"/>
          <w:b/>
          <w:sz w:val="20"/>
          <w:szCs w:val="20"/>
        </w:rPr>
        <w:t>конкурентного отбора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79"/>
        <w:gridCol w:w="7717"/>
        <w:gridCol w:w="1087"/>
        <w:gridCol w:w="1088"/>
        <w:gridCol w:w="1565"/>
      </w:tblGrid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по заполнению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Данные по критерию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(вносится экспертом)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</w:tr>
      <w:tr w:rsidR="00CC19F7" w:rsidRPr="00601C54" w:rsidTr="00075F02">
        <w:trPr>
          <w:trHeight w:val="26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(Общее количество представленных в заявке Участника выполненных договоров)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общее количество представленных в заявке Участника выполненных договоров на основании заполненной участником Формы № </w:t>
            </w:r>
            <w:r w:rsidR="00AB56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«Справка о выполнении аналогичных договоров»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963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075F02">
        <w:trPr>
          <w:trHeight w:val="23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(кол-во представленных в заявке Участника выполненных договоров с отзывами)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количество представленных в заявке Участника выполненных договоров с приложенными отзывами по ним от Заказчиков (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Примечание: учитываются отзывы по договорам указанным в форме </w:t>
            </w:r>
            <w:r w:rsidR="00AB56FE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имеющие реквизиты, регистрационные данные, подпись руководителя организации, предоставившей отзыв, а так же сведения о договоре, в рамках которого был предоставлен отзыв (номер и дата договора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828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указать, достаточно, минимально или недостаточно количество специалистов для выполнения работ/оказания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Материально-техническое обеспечение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соответствие материально-технического обеспечения требованиям документации (соответствует/частично соответствует/не соответствует).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несоответствий необходимо указать эти несоответствия.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технологии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детального описания мероприятий (план мероприятия, детальный график оказания услуг с датами, приоритет или последовательность выполнения действий)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специального оснащения (какие ресурсы необходимо задействовать, тип ресурса, дата его привлечения, ответственный за привлечение ресурсов)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задач, решаемых при оказании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«Записка по технологии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детальное описание мероприятий (план мероприятия, детальный график оказания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с датами, приоритет или последовательность выполнения действий)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специального оснащения (какие ресурсы необходимо задействовать, тип ресурса,  дата его привлечения, ответственный за привлечение ресурсов) 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задач, решаемых при оказании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организации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организационной схемы (структуры) управления оказанием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стандартов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описание подходов к организации материально-технического и информационно-технического обеспечения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схемы управления  оказанием услуг с указанием средств связи, средств автоматизированной обработки информации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схемы взаимодействия с субподрядчиками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организации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3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стандартов оказания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средств связи, средств автоматизированной обработки информации–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- 1 балл.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планирования управления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качественного анализа 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 описания количественного анализа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описания  эффективного контроля реализации принятых рисковых решений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«Записка по управлению рисками» 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планирование управления рисками–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качественный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количественный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эффективный контроль реализации принятых рисковых решений– 4 балла.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rPr>
          <w:trHeight w:val="5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системой качества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 описания способов контроля качества при оказании услуг;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структуры службы контроля качества;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управлению системой качества»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5 баллов;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качества- 5 баллов.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Полнота коммерческого предложения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все ли затраты учтены в полном объеме, если нет, то указать какие статьи затрат отсутствуют и являются ли указанные статьи затрат принципиальными, или их отсутствие допускает выполнение работ/оказание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объем работ выполняемый собственными силами (без привлечения субподрядчиков/соисполнителей)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Процент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Сумма выручки участника закупки за предыдущий год.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из Отчета о финансовых результатах указать сумму выручки участника закупки за предыдущий год.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Российский рубль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Наличие иных документов в соответствии с пунктом 5.1.28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Сколько документов, в отношении которых указано «при наличии», предусмотрено в пункте 5.1.28 Документации (сертификаты и другие документы).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Наличие иных документов в соответствии с пунктом 5.1.28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Сколько документов из числа предусмотренных в пункте 5.1.28 Документации (в отношении которых указано «при наличии») представлено в составе Заявки.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относится ли участник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</w:tbl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F5762D" w:rsidRPr="00FF2A57" w:rsidRDefault="00F5762D" w:rsidP="00CC0DCE">
      <w:pPr>
        <w:spacing w:after="0" w:line="240" w:lineRule="auto"/>
        <w:rPr>
          <w:rFonts w:ascii="Times New Roman" w:eastAsia="Times New Roman" w:hAnsi="Times NewRoman" w:cs="Times New Roman"/>
          <w:b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3. Оценка и сопоставление заявок Участников </w:t>
      </w:r>
      <w:r w:rsidR="00C64FA4">
        <w:rPr>
          <w:rFonts w:ascii="Times New Roman" w:eastAsia="Times New Roman" w:hAnsi="Times New Roman" w:cs="Times New Roman"/>
          <w:b/>
          <w:sz w:val="24"/>
          <w:szCs w:val="24"/>
        </w:rPr>
        <w:t>конкурентного отбора.</w:t>
      </w:r>
    </w:p>
    <w:p w:rsidR="00F5762D" w:rsidRPr="00F5762D" w:rsidRDefault="00F5762D" w:rsidP="00F5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Рейтинг заявки на участие в </w:t>
      </w:r>
      <w:r w:rsidR="00C64FA4" w:rsidRPr="00C64FA4">
        <w:rPr>
          <w:rFonts w:ascii="Times New Roman" w:eastAsia="Times New Roman" w:hAnsi="Times New Roman" w:cs="Times New Roman"/>
          <w:sz w:val="24"/>
          <w:szCs w:val="24"/>
        </w:rPr>
        <w:t>конкурентно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м отборе</w:t>
      </w:r>
      <w:r w:rsidR="00C64FA4"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данного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конкурентного отбора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максимальный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уровень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оценки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устанавливается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в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баллах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равных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100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коммерческого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технического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квалификации Участника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Оценки по критериям заносятся в графу (S) сводного протокола балльной оценки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конкурентном отборе</w:t>
      </w:r>
      <w:r w:rsidRPr="00F5762D">
        <w:rPr>
          <w:rFonts w:ascii="Times New Roman" w:eastAsia="Times New Roman" w:hAnsi="Times New Roman" w:cs="Times New Roman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Участника, на основе которых формируется общая оценка по данной Заявке на уча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стие в конкурентном отборе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конкурентном отборе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 определяется как сумма соответствующих итоговых оценок по всем критериям (V).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Итог</w:t>
      </w:r>
      <w:r w:rsidR="002A702A">
        <w:rPr>
          <w:rFonts w:ascii="Times New Roman" w:eastAsia="Times New Roman" w:hAnsi="Times New Roman" w:cs="Times New Roman"/>
          <w:sz w:val="24"/>
          <w:szCs w:val="24"/>
        </w:rPr>
        <w:t>овая оценка Заявки на участие в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конкурентном отборе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Участника выводится как арифметическая сумма оценок всех вышеуказанных критериев. 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8301" w:type="dxa"/>
        <w:tblInd w:w="103" w:type="dxa"/>
        <w:tblLook w:val="04A0" w:firstRow="1" w:lastRow="0" w:firstColumn="1" w:lastColumn="0" w:noHBand="0" w:noVBand="1"/>
      </w:tblPr>
      <w:tblGrid>
        <w:gridCol w:w="4480"/>
        <w:gridCol w:w="1904"/>
        <w:gridCol w:w="1917"/>
      </w:tblGrid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100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100 %</w:t>
            </w:r>
          </w:p>
        </w:tc>
      </w:tr>
    </w:tbl>
    <w:p w:rsidR="00F5762D" w:rsidRPr="00F5762D" w:rsidRDefault="00F5762D" w:rsidP="00F5762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69" w:type="dxa"/>
        <w:tblInd w:w="108" w:type="dxa"/>
        <w:tblLook w:val="04A0" w:firstRow="1" w:lastRow="0" w:firstColumn="1" w:lastColumn="0" w:noHBand="0" w:noVBand="1"/>
      </w:tblPr>
      <w:tblGrid>
        <w:gridCol w:w="1212"/>
        <w:gridCol w:w="5501"/>
        <w:gridCol w:w="2078"/>
        <w:gridCol w:w="2285"/>
        <w:gridCol w:w="3793"/>
      </w:tblGrid>
      <w:tr w:rsidR="00F5762D" w:rsidRPr="00F5762D" w:rsidTr="00C51F31">
        <w:trPr>
          <w:trHeight w:val="20"/>
        </w:trPr>
        <w:tc>
          <w:tcPr>
            <w:tcW w:w="148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762D" w:rsidRPr="00F5762D" w:rsidRDefault="00F5762D" w:rsidP="00C6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Сводный протокол балльной оценки заявки на участие в </w:t>
            </w:r>
            <w:r w:rsidR="00C64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752147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6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V:</w:t>
            </w: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Оценка коммерческого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Уровень цены заявки (без НДС)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0,80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Коммерческое предложение Участника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В= 10 * (Nmin/Ni)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 и условиями Документации.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Полнота коммерческого предложения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0,20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Коммерческое предложение (форма 1.1)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10 баллов. Затраты учтены в полном объеме 5 баллов. Затраты учтены в объеме, допускающем выполнение работ/оказания услуг, 0 баллов.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Принципиальные статьи затрат отсутствуют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BD3A82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val="en-US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t>2. Оценка технического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551"/>
        <w:gridCol w:w="5670"/>
        <w:gridCol w:w="1235"/>
        <w:gridCol w:w="1141"/>
      </w:tblGrid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оценки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1418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255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оценки</w:t>
            </w:r>
          </w:p>
        </w:tc>
        <w:tc>
          <w:tcPr>
            <w:tcW w:w="5670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5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технологии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в описании участника технологии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- детальное описание мероприятий (план мероприятия, детальный график оказания услуг с датами, приоритет или последовательность выполнения действий)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специального оснащения (какие ресурсы необходимо задействовать, тип ресурса,  дата его привлечения, ответственный за привлечение ресурсов) 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задач, решаемых при оказании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организации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стандартов оказания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 связи, средств автоматизированной обработки информации–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1 балл.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рисками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рисками: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планирование управления рисками–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качественный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эффективный контроль реализации принятых рисковых решений–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системой качества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системой качества: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31AD1" w:rsidRPr="00F5762D" w:rsidTr="006B04B9">
        <w:trPr>
          <w:trHeight w:val="20"/>
        </w:trPr>
        <w:tc>
          <w:tcPr>
            <w:tcW w:w="601" w:type="dxa"/>
            <w:vAlign w:val="center"/>
          </w:tcPr>
          <w:p w:rsidR="00131AD1" w:rsidRPr="00CC0DCE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2" w:type="dxa"/>
          </w:tcPr>
          <w:p w:rsidR="00131AD1" w:rsidRPr="00BD3A82" w:rsidRDefault="00131AD1" w:rsidP="00131AD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 w:rsidRPr="00BD3A8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1418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2</w:t>
            </w: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</w:tcPr>
          <w:p w:rsidR="00131AD1" w:rsidRPr="00260646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оценке по данному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критерию оценивается объем работ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 выполняемый Участником собственными силами. Под собственными силами понимаются силы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частника с учетом дочерних и зависимых обществ (в которых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частник имеет более 50% акций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(долей)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0" w:type="dxa"/>
          </w:tcPr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90% и менее либо равен 100% – 10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80% и менее либо равен 90% – 9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70% и менее либо равен 80% – 8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60% и менее либо равен 70% – 7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50% и менее либо равен 60% – 6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40% и менее либо равен 50% – 5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30% и менее либо равен 40% – 4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20% и менее либо равен 30% – 3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10% и менее либо равен 20% – 2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0% и менее либо равен 10% – 1 балл.</w:t>
            </w:r>
          </w:p>
          <w:p w:rsidR="00131AD1" w:rsidRPr="00790DFC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равен 0% – 0 баллов.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459C" w:rsidRDefault="00DA459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Pr="00BD3A82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Оценка квалификации Участника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услуг, аналогичных предмету закупки (кол-во договоров и отзывов к ним)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4D3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2724D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Количество представленных в заявке Участника выполненных договоров и отзывов по ним от Заказчиков (Покупателей) за последние 3 года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За каждый договор с отзывом - 1 балл, за договор без отзыва - 0,5 балла.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Максимальный балл - 10. 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материально-технического обеспечения Участника требованиям документации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баллов, в случае если материально-техническое обеспечение, полностью соответствует требованиям Документации,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9-0 баллов, баллы вычитаемые за наличие несоответствия материально-технического обеспечения, требованиям Документации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23321C" w:rsidRPr="0023321C" w:rsidRDefault="0023321C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Письмо о подаче Заявки на участие в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конкурентном отборе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(Справка о кадр</w:t>
            </w:r>
            <w:r w:rsidR="007D6B9E">
              <w:rPr>
                <w:rFonts w:ascii="Times New Roman" w:hAnsi="Times New Roman" w:cs="Times New Roman"/>
                <w:sz w:val="20"/>
                <w:szCs w:val="20"/>
              </w:rPr>
              <w:t>овых ресурсах Участника (Форма 5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.2.)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баллов. Достаточно для выполнения работ/оказания услуг по предмету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 конкурентного отбора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321C" w:rsidRPr="0023321C" w:rsidRDefault="0023321C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5 баллов. Минимально необходимое количество для выполнения работ/оказания услуг по предмету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конкурентного отбора.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0 баллов. Недостаточно для выполнения работ/оказания услуг по предмету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>конкурентного отбора.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Финансовое состояние и обеспеченность финансовыми ресурсами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Объем выручки участника закупки за предыдущий год.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B = 10 * (2Vi/Nнц – 1)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Vi – Сумма выручки участника закупки за предыдущий год, руб.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Nнц – Начальная (максимальная) цена.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менее 50% начальной (максимальной) цены В=0.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больше или равна 100% начальной (максимальной) цены В=10.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02" w:type="dxa"/>
          </w:tcPr>
          <w:p w:rsidR="0023321C" w:rsidRPr="0023321C" w:rsidRDefault="00AB56FE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иных документов в соответствии с пунктом 5.1.28 Документации (в отношении которых указано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 наличии»)</w:t>
            </w:r>
          </w:p>
        </w:tc>
        <w:tc>
          <w:tcPr>
            <w:tcW w:w="1418" w:type="dxa"/>
            <w:vAlign w:val="center"/>
          </w:tcPr>
          <w:p w:rsidR="0023321C" w:rsidRPr="0023321C" w:rsidRDefault="005410B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0.3</w:t>
            </w:r>
            <w:r w:rsidR="00AB56F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AB56FE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участника документов, в соответствии с пунктом 5.1.28 Документации (в отношении которых указано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 наличии»)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=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10 где: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представленных Участником документов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запрашиваемых документов Если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= 0, то В =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762D" w:rsidRPr="00F11525" w:rsidRDefault="00F5762D" w:rsidP="00F5762D">
      <w:pPr>
        <w:spacing w:after="0" w:line="240" w:lineRule="auto"/>
        <w:rPr>
          <w:rFonts w:ascii="Times NewRoman" w:eastAsia="Times New Roman" w:hAnsi="Times New Roman" w:cs="Times New Roman"/>
          <w:sz w:val="20"/>
          <w:szCs w:val="20"/>
        </w:rPr>
      </w:pP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Критерии оценки выбираются в соответствии с требованиями документации о 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>конкурентном отборе</w:t>
      </w:r>
      <w:r w:rsidR="00AB56FE">
        <w:rPr>
          <w:rFonts w:ascii="Times New Roman" w:eastAsia="Times New Roman" w:hAnsi="Times New Roman" w:cs="Times New Roman"/>
          <w:b/>
          <w:sz w:val="24"/>
          <w:szCs w:val="20"/>
        </w:rPr>
        <w:t xml:space="preserve"> по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предмету закупки.</w:t>
      </w: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** - Весомость определяется в зависимости от выбранных критериев оценки.</w:t>
      </w:r>
    </w:p>
    <w:p w:rsidR="00247B49" w:rsidRDefault="00247B49"/>
    <w:sectPr w:rsidR="00247B49" w:rsidSect="00BD3A82">
      <w:footerReference w:type="default" r:id="rId7"/>
      <w:pgSz w:w="16838" w:h="11906" w:orient="landscape" w:code="9"/>
      <w:pgMar w:top="709" w:right="964" w:bottom="709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38" w:rsidRDefault="00DE4C38">
      <w:pPr>
        <w:spacing w:after="0" w:line="240" w:lineRule="auto"/>
      </w:pPr>
      <w:r>
        <w:separator/>
      </w:r>
    </w:p>
  </w:endnote>
  <w:endnote w:type="continuationSeparator" w:id="0">
    <w:p w:rsidR="00DE4C38" w:rsidRDefault="00DE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C38" w:rsidRDefault="00DE4C38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35F1F">
      <w:rPr>
        <w:noProof/>
      </w:rPr>
      <w:t>1</w:t>
    </w:r>
    <w:r>
      <w:fldChar w:fldCharType="end"/>
    </w:r>
  </w:p>
  <w:p w:rsidR="00DE4C38" w:rsidRDefault="00DE4C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38" w:rsidRDefault="00DE4C38">
      <w:pPr>
        <w:spacing w:after="0" w:line="240" w:lineRule="auto"/>
      </w:pPr>
      <w:r>
        <w:separator/>
      </w:r>
    </w:p>
  </w:footnote>
  <w:footnote w:type="continuationSeparator" w:id="0">
    <w:p w:rsidR="00DE4C38" w:rsidRDefault="00DE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49"/>
    <w:rsid w:val="00052B77"/>
    <w:rsid w:val="00075F02"/>
    <w:rsid w:val="00075FE4"/>
    <w:rsid w:val="00087D6A"/>
    <w:rsid w:val="00094EDF"/>
    <w:rsid w:val="000D33D4"/>
    <w:rsid w:val="000D5910"/>
    <w:rsid w:val="001164B5"/>
    <w:rsid w:val="00131AD1"/>
    <w:rsid w:val="0016686D"/>
    <w:rsid w:val="00191539"/>
    <w:rsid w:val="001B084A"/>
    <w:rsid w:val="001D179B"/>
    <w:rsid w:val="001D7B61"/>
    <w:rsid w:val="001E304F"/>
    <w:rsid w:val="00200187"/>
    <w:rsid w:val="00212E98"/>
    <w:rsid w:val="002274AC"/>
    <w:rsid w:val="0023321C"/>
    <w:rsid w:val="00237FA1"/>
    <w:rsid w:val="00247B49"/>
    <w:rsid w:val="00257560"/>
    <w:rsid w:val="002724D3"/>
    <w:rsid w:val="0028388E"/>
    <w:rsid w:val="00287826"/>
    <w:rsid w:val="002A34E3"/>
    <w:rsid w:val="002A702A"/>
    <w:rsid w:val="002D0668"/>
    <w:rsid w:val="00316761"/>
    <w:rsid w:val="00320B12"/>
    <w:rsid w:val="00325079"/>
    <w:rsid w:val="00332F4F"/>
    <w:rsid w:val="003350A8"/>
    <w:rsid w:val="0034466E"/>
    <w:rsid w:val="00373AA8"/>
    <w:rsid w:val="0037419A"/>
    <w:rsid w:val="0038036A"/>
    <w:rsid w:val="003A3FB8"/>
    <w:rsid w:val="003C7BBF"/>
    <w:rsid w:val="003E599D"/>
    <w:rsid w:val="0040274B"/>
    <w:rsid w:val="00412658"/>
    <w:rsid w:val="00431A58"/>
    <w:rsid w:val="00454750"/>
    <w:rsid w:val="0045616C"/>
    <w:rsid w:val="00460495"/>
    <w:rsid w:val="00460D1E"/>
    <w:rsid w:val="004616A8"/>
    <w:rsid w:val="004A5E6E"/>
    <w:rsid w:val="004A641F"/>
    <w:rsid w:val="004A6EB8"/>
    <w:rsid w:val="004B2EA2"/>
    <w:rsid w:val="005029FA"/>
    <w:rsid w:val="00503274"/>
    <w:rsid w:val="00513B15"/>
    <w:rsid w:val="005410BC"/>
    <w:rsid w:val="00541D97"/>
    <w:rsid w:val="0056278F"/>
    <w:rsid w:val="005B444D"/>
    <w:rsid w:val="00600387"/>
    <w:rsid w:val="00601C54"/>
    <w:rsid w:val="00611F00"/>
    <w:rsid w:val="006157D7"/>
    <w:rsid w:val="00622476"/>
    <w:rsid w:val="00636C5E"/>
    <w:rsid w:val="0064550C"/>
    <w:rsid w:val="00660AAD"/>
    <w:rsid w:val="0066538F"/>
    <w:rsid w:val="006853C1"/>
    <w:rsid w:val="006A4D46"/>
    <w:rsid w:val="006B04B9"/>
    <w:rsid w:val="006B71BF"/>
    <w:rsid w:val="006D67E3"/>
    <w:rsid w:val="007041D3"/>
    <w:rsid w:val="00740082"/>
    <w:rsid w:val="00745DF6"/>
    <w:rsid w:val="00752147"/>
    <w:rsid w:val="00773622"/>
    <w:rsid w:val="00774AD2"/>
    <w:rsid w:val="00775C9C"/>
    <w:rsid w:val="00782CA6"/>
    <w:rsid w:val="007C27DE"/>
    <w:rsid w:val="007C2A03"/>
    <w:rsid w:val="007C586F"/>
    <w:rsid w:val="007D6B9E"/>
    <w:rsid w:val="007E2393"/>
    <w:rsid w:val="00810254"/>
    <w:rsid w:val="008136C4"/>
    <w:rsid w:val="008331B8"/>
    <w:rsid w:val="00833B9A"/>
    <w:rsid w:val="00834086"/>
    <w:rsid w:val="00834D1E"/>
    <w:rsid w:val="00872093"/>
    <w:rsid w:val="0087365D"/>
    <w:rsid w:val="00884585"/>
    <w:rsid w:val="0089212E"/>
    <w:rsid w:val="008A7215"/>
    <w:rsid w:val="008A741E"/>
    <w:rsid w:val="008A7E79"/>
    <w:rsid w:val="008E313B"/>
    <w:rsid w:val="008F4D42"/>
    <w:rsid w:val="00902C44"/>
    <w:rsid w:val="00916012"/>
    <w:rsid w:val="00916266"/>
    <w:rsid w:val="009270D5"/>
    <w:rsid w:val="00931DF0"/>
    <w:rsid w:val="00990479"/>
    <w:rsid w:val="00990B0D"/>
    <w:rsid w:val="00994A62"/>
    <w:rsid w:val="009A087C"/>
    <w:rsid w:val="009C0ED5"/>
    <w:rsid w:val="009C29CE"/>
    <w:rsid w:val="009E6CE4"/>
    <w:rsid w:val="009F4C7B"/>
    <w:rsid w:val="009F6DDF"/>
    <w:rsid w:val="00A57384"/>
    <w:rsid w:val="00A63531"/>
    <w:rsid w:val="00A936AB"/>
    <w:rsid w:val="00AB56FE"/>
    <w:rsid w:val="00AF3D36"/>
    <w:rsid w:val="00B07E16"/>
    <w:rsid w:val="00B2099D"/>
    <w:rsid w:val="00B277B2"/>
    <w:rsid w:val="00B279AD"/>
    <w:rsid w:val="00B3676C"/>
    <w:rsid w:val="00B45621"/>
    <w:rsid w:val="00B51A37"/>
    <w:rsid w:val="00BA6BEE"/>
    <w:rsid w:val="00BD3A82"/>
    <w:rsid w:val="00BE2DA9"/>
    <w:rsid w:val="00BF2515"/>
    <w:rsid w:val="00C2442D"/>
    <w:rsid w:val="00C27DBC"/>
    <w:rsid w:val="00C31631"/>
    <w:rsid w:val="00C51F31"/>
    <w:rsid w:val="00C61A49"/>
    <w:rsid w:val="00C64FA4"/>
    <w:rsid w:val="00C84F4A"/>
    <w:rsid w:val="00CA67C5"/>
    <w:rsid w:val="00CA79F5"/>
    <w:rsid w:val="00CB037B"/>
    <w:rsid w:val="00CB4B98"/>
    <w:rsid w:val="00CB5810"/>
    <w:rsid w:val="00CC0DCE"/>
    <w:rsid w:val="00CC19F7"/>
    <w:rsid w:val="00CC2329"/>
    <w:rsid w:val="00D32AE4"/>
    <w:rsid w:val="00D6289B"/>
    <w:rsid w:val="00D86DC7"/>
    <w:rsid w:val="00DA459C"/>
    <w:rsid w:val="00DE4C38"/>
    <w:rsid w:val="00DF11BE"/>
    <w:rsid w:val="00E12CC9"/>
    <w:rsid w:val="00E518C6"/>
    <w:rsid w:val="00E52D71"/>
    <w:rsid w:val="00E611C9"/>
    <w:rsid w:val="00E70140"/>
    <w:rsid w:val="00E70336"/>
    <w:rsid w:val="00E74D3B"/>
    <w:rsid w:val="00E915C4"/>
    <w:rsid w:val="00EA7590"/>
    <w:rsid w:val="00ED1004"/>
    <w:rsid w:val="00EE1D7A"/>
    <w:rsid w:val="00EE30C3"/>
    <w:rsid w:val="00EE4725"/>
    <w:rsid w:val="00EE7020"/>
    <w:rsid w:val="00F00FED"/>
    <w:rsid w:val="00F0785C"/>
    <w:rsid w:val="00F11525"/>
    <w:rsid w:val="00F30F33"/>
    <w:rsid w:val="00F35F1F"/>
    <w:rsid w:val="00F5268C"/>
    <w:rsid w:val="00F56922"/>
    <w:rsid w:val="00F5762D"/>
    <w:rsid w:val="00F8644B"/>
    <w:rsid w:val="00FC091A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D1BF2236-6CD0-469A-8CD3-D1F3451D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774AD2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762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5762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5762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774AD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18</Pages>
  <Words>5053</Words>
  <Characters>28805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121</cp:revision>
  <cp:lastPrinted>2015-03-17T06:59:00Z</cp:lastPrinted>
  <dcterms:created xsi:type="dcterms:W3CDTF">2015-01-29T04:55:00Z</dcterms:created>
  <dcterms:modified xsi:type="dcterms:W3CDTF">2019-09-18T10:07:00Z</dcterms:modified>
</cp:coreProperties>
</file>