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6C" w:rsidRDefault="000D706C" w:rsidP="000D706C">
      <w:pPr>
        <w:pStyle w:val="a3"/>
        <w:ind w:left="644"/>
        <w:jc w:val="center"/>
        <w:rPr>
          <w:b/>
        </w:rPr>
      </w:pPr>
      <w:r w:rsidRPr="00D85007">
        <w:rPr>
          <w:b/>
        </w:rPr>
        <w:t xml:space="preserve">Форма </w:t>
      </w:r>
      <w:proofErr w:type="gramStart"/>
      <w:r w:rsidRPr="00D85007">
        <w:rPr>
          <w:b/>
        </w:rPr>
        <w:t>коммерческого  предложения</w:t>
      </w:r>
      <w:proofErr w:type="gramEnd"/>
    </w:p>
    <w:p w:rsidR="000D706C" w:rsidRPr="005F00C9" w:rsidRDefault="000D706C" w:rsidP="000D706C">
      <w:pPr>
        <w:pStyle w:val="a3"/>
        <w:ind w:left="644"/>
        <w:jc w:val="center"/>
        <w:rPr>
          <w:i/>
        </w:rPr>
      </w:pPr>
      <w:r w:rsidRPr="00D85007">
        <w:rPr>
          <w:b/>
        </w:rPr>
        <w:t xml:space="preserve"> </w:t>
      </w:r>
      <w:r w:rsidRPr="005F00C9">
        <w:rPr>
          <w:i/>
        </w:rPr>
        <w:t>(</w:t>
      </w:r>
      <w:proofErr w:type="spellStart"/>
      <w:r w:rsidRPr="005F00C9">
        <w:rPr>
          <w:i/>
        </w:rPr>
        <w:t>пустографка</w:t>
      </w:r>
      <w:proofErr w:type="spellEnd"/>
      <w:r w:rsidRPr="005F00C9">
        <w:rPr>
          <w:i/>
        </w:rPr>
        <w:t>)</w:t>
      </w:r>
    </w:p>
    <w:p w:rsidR="000D706C" w:rsidRDefault="000D706C" w:rsidP="000D706C">
      <w:pPr>
        <w:pStyle w:val="a3"/>
        <w:jc w:val="right"/>
      </w:pPr>
    </w:p>
    <w:p w:rsidR="000D706C" w:rsidRPr="00DB6385" w:rsidRDefault="000D706C" w:rsidP="000D706C">
      <w:pPr>
        <w:jc w:val="both"/>
        <w:rPr>
          <w:rFonts w:eastAsia="Calibri"/>
          <w:lang w:eastAsia="en-US"/>
        </w:rPr>
      </w:pPr>
      <w:r>
        <w:t>Подрядчик</w:t>
      </w:r>
      <w:r w:rsidRPr="00DB6385">
        <w:rPr>
          <w:rFonts w:eastAsia="Calibri"/>
          <w:lang w:eastAsia="en-US"/>
        </w:rPr>
        <w:t xml:space="preserve"> представляет подробную калькуляцию стоимости плановых затрат на ремонт единицы оборудования с разбивкой на собственные и сторонние (образец прикладывается); </w:t>
      </w:r>
    </w:p>
    <w:p w:rsidR="000D706C" w:rsidRPr="00DB6385" w:rsidRDefault="000D706C" w:rsidP="000D706C">
      <w:pPr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 xml:space="preserve">Калькуляция является подтверждением фактических расходов. Калькуляция фактических расходов, в части сторонних расходов, должна сопровождаться копиями первичных документов с указанием телефона, фактического адреса и электронной почты организации </w:t>
      </w:r>
      <w:r>
        <w:t>подрядчика</w:t>
      </w:r>
      <w:r w:rsidRPr="00DB6385">
        <w:rPr>
          <w:rFonts w:eastAsia="Calibri"/>
          <w:lang w:eastAsia="en-US"/>
        </w:rPr>
        <w:t>;</w:t>
      </w:r>
    </w:p>
    <w:p w:rsidR="000D706C" w:rsidRPr="00DB6385" w:rsidRDefault="000D706C" w:rsidP="000D706C">
      <w:pPr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 xml:space="preserve">В части собственных расходов должна быть приведена расшифровка фактически привлеченных ресурсов: заработная плата, КТУ, и </w:t>
      </w:r>
      <w:proofErr w:type="spellStart"/>
      <w:r w:rsidRPr="00DB6385">
        <w:rPr>
          <w:rFonts w:eastAsia="Calibri"/>
          <w:lang w:eastAsia="en-US"/>
        </w:rPr>
        <w:t>т.д</w:t>
      </w:r>
      <w:proofErr w:type="spellEnd"/>
      <w:r w:rsidRPr="00DB6385">
        <w:rPr>
          <w:rFonts w:eastAsia="Calibri"/>
          <w:lang w:eastAsia="en-US"/>
        </w:rPr>
        <w:t>;</w:t>
      </w:r>
    </w:p>
    <w:p w:rsidR="000D706C" w:rsidRPr="00DB6385" w:rsidRDefault="000D706C" w:rsidP="000D706C">
      <w:pPr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>Окончательная стоимость работ (услуг) по договору определяется суммой калькуляций по фактическим расходам, но не может превышать сумму цены договора, за исключением иных условий, предусмотренных договором.</w:t>
      </w:r>
    </w:p>
    <w:p w:rsidR="000D706C" w:rsidRPr="00DB6385" w:rsidRDefault="000D706C" w:rsidP="000D706C">
      <w:pPr>
        <w:spacing w:after="200"/>
        <w:jc w:val="center"/>
        <w:rPr>
          <w:rFonts w:eastAsia="Calibri"/>
          <w:b/>
          <w:lang w:eastAsia="en-US"/>
        </w:rPr>
      </w:pPr>
      <w:r w:rsidRPr="00DB6385">
        <w:rPr>
          <w:rFonts w:eastAsia="Calibri"/>
          <w:b/>
          <w:lang w:eastAsia="en-US"/>
        </w:rPr>
        <w:t xml:space="preserve">Калькуляция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30"/>
        <w:gridCol w:w="2313"/>
        <w:gridCol w:w="836"/>
        <w:gridCol w:w="3133"/>
        <w:gridCol w:w="2694"/>
      </w:tblGrid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  <w:rPr>
                <w:b/>
              </w:rPr>
            </w:pPr>
            <w:bookmarkStart w:id="0" w:name="_GoBack"/>
            <w:bookmarkEnd w:id="0"/>
            <w:r w:rsidRPr="005E55FF">
              <w:rPr>
                <w:b/>
              </w:rPr>
              <w:t>№ п/п</w:t>
            </w:r>
          </w:p>
        </w:tc>
        <w:tc>
          <w:tcPr>
            <w:tcW w:w="2313" w:type="dxa"/>
          </w:tcPr>
          <w:p w:rsidR="000D706C" w:rsidRPr="005E55FF" w:rsidRDefault="000D706C" w:rsidP="00B87645">
            <w:pPr>
              <w:jc w:val="center"/>
              <w:rPr>
                <w:b/>
              </w:rPr>
            </w:pPr>
            <w:r w:rsidRPr="005E55FF">
              <w:rPr>
                <w:b/>
              </w:rPr>
              <w:t>Наименование статей затрат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  <w:rPr>
                <w:b/>
              </w:rPr>
            </w:pPr>
            <w:r w:rsidRPr="005E55FF">
              <w:rPr>
                <w:b/>
              </w:rPr>
              <w:t>в %</w:t>
            </w:r>
          </w:p>
        </w:tc>
        <w:tc>
          <w:tcPr>
            <w:tcW w:w="3133" w:type="dxa"/>
          </w:tcPr>
          <w:p w:rsidR="000D706C" w:rsidRPr="005E55FF" w:rsidRDefault="000D706C" w:rsidP="00B87645">
            <w:pPr>
              <w:jc w:val="center"/>
              <w:rPr>
                <w:b/>
              </w:rPr>
            </w:pPr>
            <w:r w:rsidRPr="005E55FF">
              <w:rPr>
                <w:b/>
              </w:rPr>
              <w:t>Сумма затрат на объекте</w:t>
            </w:r>
            <w:r w:rsidRPr="005E55FF">
              <w:rPr>
                <w:b/>
              </w:rPr>
              <w:br/>
              <w:t xml:space="preserve"> (без НДС), руб.</w:t>
            </w:r>
          </w:p>
        </w:tc>
        <w:tc>
          <w:tcPr>
            <w:tcW w:w="2694" w:type="dxa"/>
          </w:tcPr>
          <w:p w:rsidR="000D706C" w:rsidRPr="005E55FF" w:rsidRDefault="000D706C" w:rsidP="00B87645">
            <w:pPr>
              <w:jc w:val="center"/>
              <w:rPr>
                <w:b/>
              </w:rPr>
            </w:pPr>
            <w:r w:rsidRPr="005E55FF">
              <w:rPr>
                <w:b/>
              </w:rPr>
              <w:t>Обоснование затрат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 w:rsidRPr="005E55FF">
              <w:t>1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Материальные затраты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>Расчет 1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 w:rsidRPr="005E55FF">
              <w:t>2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Затраты на оплату труда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>Расчет 2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 w:rsidRPr="005E55FF">
              <w:t>3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Страховые взносы (в % от стр.2)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  <w:r w:rsidRPr="005E55FF">
              <w:t>%</w:t>
            </w: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>Расчет-обоснование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 w:rsidRPr="005E55FF">
              <w:t>4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Транспортные расходы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>Расчет-обоснование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 w:rsidRPr="005E55FF">
              <w:t>5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Прочие расходы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>Расчет-обоснование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>
              <w:t>6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 xml:space="preserve">Накладные расходы 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  <w:r w:rsidRPr="005E55FF">
              <w:t>%</w:t>
            </w: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 xml:space="preserve">Расчет (методом постатейного </w:t>
            </w:r>
            <w:proofErr w:type="spellStart"/>
            <w:r w:rsidRPr="005E55FF">
              <w:t>калькулирования</w:t>
            </w:r>
            <w:proofErr w:type="spellEnd"/>
            <w:r w:rsidRPr="005E55FF">
              <w:t xml:space="preserve"> затрат в произвольной форме)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  <w:r>
              <w:t>7</w:t>
            </w: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Рентабельность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  <w:r w:rsidRPr="005E55FF">
              <w:t>%</w:t>
            </w: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>
            <w:r w:rsidRPr="005E55FF">
              <w:t xml:space="preserve">Расчет (методом постатейного </w:t>
            </w:r>
            <w:proofErr w:type="spellStart"/>
            <w:r w:rsidRPr="005E55FF">
              <w:t>калькулирования</w:t>
            </w:r>
            <w:proofErr w:type="spellEnd"/>
            <w:r w:rsidRPr="005E55FF">
              <w:t xml:space="preserve"> затрат в произвольной форме)</w:t>
            </w:r>
          </w:p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2313" w:type="dxa"/>
          </w:tcPr>
          <w:p w:rsidR="000D706C" w:rsidRPr="005E55FF" w:rsidRDefault="000D706C" w:rsidP="00B87645">
            <w:r>
              <w:t>Всего ТОРО: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9923B3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/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2313" w:type="dxa"/>
          </w:tcPr>
          <w:p w:rsidR="000D706C" w:rsidRPr="005E55FF" w:rsidRDefault="000D706C" w:rsidP="00B87645">
            <w:r w:rsidRPr="005E55FF">
              <w:t>НДС</w:t>
            </w:r>
            <w:r>
              <w:t>:</w:t>
            </w:r>
            <w:r w:rsidRPr="005E55FF">
              <w:t xml:space="preserve"> 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  <w:r w:rsidRPr="005E55FF">
              <w:t>%</w:t>
            </w:r>
          </w:p>
        </w:tc>
        <w:tc>
          <w:tcPr>
            <w:tcW w:w="3133" w:type="dxa"/>
          </w:tcPr>
          <w:p w:rsidR="000D706C" w:rsidRPr="005E55FF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/>
        </w:tc>
      </w:tr>
      <w:tr w:rsidR="000D706C" w:rsidRPr="005E55FF" w:rsidTr="00B87645">
        <w:tc>
          <w:tcPr>
            <w:tcW w:w="630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2313" w:type="dxa"/>
          </w:tcPr>
          <w:p w:rsidR="000D706C" w:rsidRPr="005E55FF" w:rsidRDefault="000D706C" w:rsidP="00B87645">
            <w:r>
              <w:t>Всего</w:t>
            </w:r>
            <w:r w:rsidRPr="005E55FF">
              <w:t xml:space="preserve"> расходов с НДС</w:t>
            </w:r>
            <w:r>
              <w:t>:</w:t>
            </w:r>
          </w:p>
        </w:tc>
        <w:tc>
          <w:tcPr>
            <w:tcW w:w="836" w:type="dxa"/>
          </w:tcPr>
          <w:p w:rsidR="000D706C" w:rsidRPr="005E55FF" w:rsidRDefault="000D706C" w:rsidP="00B87645">
            <w:pPr>
              <w:jc w:val="center"/>
            </w:pPr>
          </w:p>
        </w:tc>
        <w:tc>
          <w:tcPr>
            <w:tcW w:w="3133" w:type="dxa"/>
          </w:tcPr>
          <w:p w:rsidR="000D706C" w:rsidRPr="005E55FF" w:rsidRDefault="000D706C" w:rsidP="00B8764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0D706C" w:rsidRPr="005E55FF" w:rsidRDefault="000D706C" w:rsidP="00B87645"/>
        </w:tc>
      </w:tr>
    </w:tbl>
    <w:p w:rsidR="000D706C" w:rsidRPr="00DB6385" w:rsidRDefault="000D706C" w:rsidP="000D706C">
      <w:pPr>
        <w:spacing w:after="200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 xml:space="preserve"> 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b/>
          <w:lang w:eastAsia="en-US"/>
        </w:rPr>
        <w:t>В статье «Страховые взносы»</w:t>
      </w:r>
      <w:r w:rsidRPr="00DB6385">
        <w:rPr>
          <w:rFonts w:eastAsia="Calibri"/>
          <w:lang w:eastAsia="en-US"/>
        </w:rPr>
        <w:t xml:space="preserve"> показываются суммы отчислений в Пенсионный фонд РФ, Фонд социального страхования РФ, фонды обязательного медицинского страхования (федеральный и </w:t>
      </w:r>
      <w:proofErr w:type="gramStart"/>
      <w:r w:rsidRPr="00DB6385">
        <w:rPr>
          <w:rFonts w:eastAsia="Calibri"/>
          <w:lang w:eastAsia="en-US"/>
        </w:rPr>
        <w:t>территориальный)  с</w:t>
      </w:r>
      <w:proofErr w:type="gramEnd"/>
      <w:r w:rsidRPr="00DB6385">
        <w:rPr>
          <w:rFonts w:eastAsia="Calibri"/>
          <w:lang w:eastAsia="en-US"/>
        </w:rPr>
        <w:t xml:space="preserve"> приложением расчета-обоснования размера страховых взносов (в произвольной форме).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>Если предприятие осуществляет уплату страховых взносов на обязательное социальное страхование от несчастных случаев на производстве и профессиональных заболеваний, то необходимо предоставить копию соответствующего уведомления Фонда социального страхования РФ.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b/>
          <w:lang w:eastAsia="en-US"/>
        </w:rPr>
        <w:t>В статье «Транспортные расходы»</w:t>
      </w:r>
      <w:r w:rsidRPr="00DB6385">
        <w:rPr>
          <w:rFonts w:eastAsia="Calibri"/>
          <w:lang w:eastAsia="en-US"/>
        </w:rPr>
        <w:t xml:space="preserve"> указываются причины, расстояние транспортировки, планируемый транспорт, количество поездок, стоимость.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b/>
          <w:lang w:eastAsia="en-US"/>
        </w:rPr>
        <w:t>В статье «Прочие расходы»</w:t>
      </w:r>
      <w:r w:rsidRPr="00DB6385">
        <w:rPr>
          <w:rFonts w:eastAsia="Calibri"/>
          <w:lang w:eastAsia="en-US"/>
        </w:rPr>
        <w:t xml:space="preserve"> показывают Амортизацию ОС, аренду, электроэнергию и другие расходы, не относящиеся к перечисленным статьям, но относящиеся к производству данного вида </w:t>
      </w:r>
      <w:proofErr w:type="gramStart"/>
      <w:r w:rsidRPr="00DB6385">
        <w:rPr>
          <w:rFonts w:eastAsia="Calibri"/>
          <w:lang w:eastAsia="en-US"/>
        </w:rPr>
        <w:t>работ .</w:t>
      </w:r>
      <w:proofErr w:type="gramEnd"/>
      <w:r w:rsidRPr="00DB6385">
        <w:rPr>
          <w:rFonts w:eastAsia="Calibri"/>
          <w:lang w:eastAsia="en-US"/>
        </w:rPr>
        <w:t xml:space="preserve"> В расчете –обосновании приводят расшифровку включенных статей.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b/>
          <w:lang w:eastAsia="en-US"/>
        </w:rPr>
        <w:lastRenderedPageBreak/>
        <w:t xml:space="preserve">В статье «Накладные расходы» </w:t>
      </w:r>
      <w:r w:rsidRPr="00DB6385">
        <w:rPr>
          <w:rFonts w:eastAsia="Calibri"/>
          <w:lang w:eastAsia="en-US"/>
        </w:rPr>
        <w:t xml:space="preserve">приводится расшифровка накладных расходов предприятия в виде расчета методом постатейного </w:t>
      </w:r>
      <w:proofErr w:type="spellStart"/>
      <w:r w:rsidRPr="00DB6385">
        <w:rPr>
          <w:rFonts w:eastAsia="Calibri"/>
          <w:lang w:eastAsia="en-US"/>
        </w:rPr>
        <w:t>калькулирования</w:t>
      </w:r>
      <w:proofErr w:type="spellEnd"/>
      <w:r w:rsidRPr="00DB6385">
        <w:rPr>
          <w:rFonts w:eastAsia="Calibri"/>
          <w:lang w:eastAsia="en-US"/>
        </w:rPr>
        <w:t xml:space="preserve"> затрат с предоставлением подтверждающих документов по запросу Заказчика. В расшифровке Накладных расходов должны быть приведены накладные расходы, относящиеся только к производству данного вида работ.</w:t>
      </w:r>
    </w:p>
    <w:p w:rsidR="000D706C" w:rsidRPr="00DB6385" w:rsidRDefault="000D706C" w:rsidP="000D706C">
      <w:pPr>
        <w:ind w:firstLine="709"/>
        <w:jc w:val="both"/>
        <w:rPr>
          <w:rFonts w:eastAsia="Calibri"/>
          <w:lang w:eastAsia="en-US"/>
        </w:rPr>
      </w:pPr>
      <w:r w:rsidRPr="00DB6385">
        <w:rPr>
          <w:rFonts w:eastAsia="Calibri"/>
          <w:b/>
          <w:lang w:eastAsia="en-US"/>
        </w:rPr>
        <w:t>В статье «Рентабельность»</w:t>
      </w:r>
      <w:r w:rsidRPr="00DB6385">
        <w:rPr>
          <w:rFonts w:eastAsia="Calibri"/>
          <w:lang w:eastAsia="en-US"/>
        </w:rPr>
        <w:t xml:space="preserve"> приводится размер средств для покрытия расходов на развитие производства</w:t>
      </w:r>
      <w:r w:rsidRPr="00DB6385">
        <w:rPr>
          <w:rFonts w:eastAsia="Calibri"/>
          <w:sz w:val="22"/>
          <w:szCs w:val="22"/>
          <w:lang w:eastAsia="en-US"/>
        </w:rPr>
        <w:t xml:space="preserve"> </w:t>
      </w:r>
      <w:r w:rsidRPr="00DB6385">
        <w:rPr>
          <w:rFonts w:eastAsia="Calibri"/>
          <w:lang w:eastAsia="en-US"/>
        </w:rPr>
        <w:t xml:space="preserve">в виде расчета методом постатейного </w:t>
      </w:r>
      <w:proofErr w:type="spellStart"/>
      <w:r w:rsidRPr="00DB6385">
        <w:rPr>
          <w:rFonts w:eastAsia="Calibri"/>
          <w:lang w:eastAsia="en-US"/>
        </w:rPr>
        <w:t>калькулирования</w:t>
      </w:r>
      <w:proofErr w:type="spellEnd"/>
      <w:r w:rsidRPr="00DB6385">
        <w:rPr>
          <w:rFonts w:eastAsia="Calibri"/>
          <w:lang w:eastAsia="en-US"/>
        </w:rPr>
        <w:t xml:space="preserve"> затрат с предоставлением подтверждающих документов по запросу Заказчика. В расшифровке Рентабельности должны быть приведены средства, относящиеся только к производству данного вида работ.</w:t>
      </w:r>
    </w:p>
    <w:p w:rsidR="000D706C" w:rsidRPr="00DB6385" w:rsidRDefault="000D706C" w:rsidP="000D706C">
      <w:pPr>
        <w:spacing w:after="200"/>
        <w:jc w:val="center"/>
        <w:rPr>
          <w:rFonts w:eastAsia="Calibri"/>
          <w:b/>
          <w:lang w:eastAsia="en-US"/>
        </w:rPr>
      </w:pPr>
      <w:r w:rsidRPr="00DB6385">
        <w:rPr>
          <w:rFonts w:eastAsia="Calibri"/>
          <w:b/>
          <w:lang w:eastAsia="en-US"/>
        </w:rPr>
        <w:t>Расчет №1</w:t>
      </w:r>
    </w:p>
    <w:p w:rsidR="000D706C" w:rsidRPr="00DB6385" w:rsidRDefault="000D706C" w:rsidP="000D706C">
      <w:pPr>
        <w:spacing w:after="200"/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 xml:space="preserve">Для расчета затрат, включаемых в калькуляцию по статье «Материальные затраты» Участнику рекомендуется определить </w:t>
      </w:r>
      <w:proofErr w:type="gramStart"/>
      <w:r w:rsidRPr="00DB6385">
        <w:rPr>
          <w:rFonts w:eastAsia="Calibri"/>
          <w:lang w:eastAsia="en-US"/>
        </w:rPr>
        <w:t>затраты  на</w:t>
      </w:r>
      <w:proofErr w:type="gramEnd"/>
      <w:r w:rsidRPr="00DB6385">
        <w:rPr>
          <w:rFonts w:eastAsia="Calibri"/>
          <w:lang w:eastAsia="en-US"/>
        </w:rPr>
        <w:t xml:space="preserve"> приобретение МТР в размере 30% от общей стоимости работ по договору. </w:t>
      </w:r>
    </w:p>
    <w:p w:rsidR="000D706C" w:rsidRPr="00DB6385" w:rsidRDefault="000D706C" w:rsidP="000D706C">
      <w:pPr>
        <w:spacing w:after="200"/>
        <w:jc w:val="both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>Стоимость МТР включает все затраты (с учетом ТЗР, контроля качества, упаковки, фасовки и т.п.)  является неизменной на протяжении всего срока действия договора. Фактическая стоимость МТР Подрядчика используемая для производства работ подтверждается первичными документами и не должна превышать цены, зафиксированной в Перечне расходных материалов и запасных частей.</w:t>
      </w:r>
    </w:p>
    <w:p w:rsidR="000D706C" w:rsidRPr="00DB6385" w:rsidRDefault="000D706C" w:rsidP="000D706C">
      <w:pPr>
        <w:spacing w:after="200"/>
        <w:jc w:val="center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 xml:space="preserve">Перечень расходных материалов и запасных частей. </w:t>
      </w:r>
    </w:p>
    <w:p w:rsidR="000D706C" w:rsidRDefault="000D706C" w:rsidP="000D706C">
      <w:pPr>
        <w:spacing w:after="200"/>
        <w:jc w:val="center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>Участнику необходимо дополнить перечень материалами и ЗИП необходимыми для производства работ.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423"/>
        <w:gridCol w:w="4971"/>
        <w:gridCol w:w="3402"/>
      </w:tblGrid>
      <w:tr w:rsidR="000D706C" w:rsidRPr="00844BE6" w:rsidTr="00B87645">
        <w:trPr>
          <w:trHeight w:val="630"/>
          <w:tblHeader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6C" w:rsidRPr="00844BE6" w:rsidRDefault="000D706C" w:rsidP="00B87645">
            <w:pPr>
              <w:jc w:val="center"/>
              <w:rPr>
                <w:color w:val="000000"/>
              </w:rPr>
            </w:pPr>
            <w:r w:rsidRPr="00844BE6">
              <w:rPr>
                <w:color w:val="000000"/>
              </w:rPr>
              <w:t>№ п/п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6C" w:rsidRPr="00844BE6" w:rsidRDefault="000D706C" w:rsidP="00B87645">
            <w:pPr>
              <w:jc w:val="center"/>
              <w:rPr>
                <w:color w:val="000000"/>
              </w:rPr>
            </w:pPr>
            <w:r w:rsidRPr="00844BE6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6C" w:rsidRPr="00844BE6" w:rsidRDefault="000D706C" w:rsidP="00B87645">
            <w:pPr>
              <w:jc w:val="center"/>
              <w:rPr>
                <w:color w:val="000000"/>
              </w:rPr>
            </w:pPr>
            <w:r w:rsidRPr="00844BE6">
              <w:rPr>
                <w:color w:val="000000"/>
              </w:rPr>
              <w:t>Стоимость ед., без НДС, руб.</w:t>
            </w:r>
          </w:p>
        </w:tc>
      </w:tr>
      <w:tr w:rsidR="000D706C" w:rsidRPr="00844BE6" w:rsidTr="00B87645">
        <w:trPr>
          <w:trHeight w:val="359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6C" w:rsidRPr="00A760B0" w:rsidRDefault="000D706C" w:rsidP="000D706C">
            <w:pPr>
              <w:pStyle w:val="a3"/>
              <w:numPr>
                <w:ilvl w:val="0"/>
                <w:numId w:val="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06C" w:rsidRPr="002E2695" w:rsidRDefault="000D706C" w:rsidP="00B87645">
            <w:pPr>
              <w:rPr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6C" w:rsidRPr="00844BE6" w:rsidRDefault="000D706C" w:rsidP="00B87645">
            <w:pPr>
              <w:rPr>
                <w:color w:val="000000"/>
              </w:rPr>
            </w:pPr>
            <w:r w:rsidRPr="00844BE6">
              <w:rPr>
                <w:color w:val="000000"/>
              </w:rPr>
              <w:t> </w:t>
            </w:r>
          </w:p>
        </w:tc>
      </w:tr>
      <w:tr w:rsidR="000D706C" w:rsidRPr="00844BE6" w:rsidTr="00B87645">
        <w:trPr>
          <w:trHeight w:val="279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6C" w:rsidRPr="00A760B0" w:rsidRDefault="000D706C" w:rsidP="000D706C">
            <w:pPr>
              <w:pStyle w:val="a3"/>
              <w:numPr>
                <w:ilvl w:val="0"/>
                <w:numId w:val="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06C" w:rsidRPr="00A760B0" w:rsidRDefault="000D706C" w:rsidP="00B87645">
            <w:pPr>
              <w:spacing w:before="100" w:beforeAutospacing="1" w:after="100" w:afterAutospacing="1"/>
              <w:rPr>
                <w:b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6C" w:rsidRPr="00844BE6" w:rsidRDefault="000D706C" w:rsidP="00B87645">
            <w:pPr>
              <w:rPr>
                <w:color w:val="000000"/>
              </w:rPr>
            </w:pPr>
            <w:r w:rsidRPr="00844BE6">
              <w:rPr>
                <w:color w:val="000000"/>
              </w:rPr>
              <w:t> </w:t>
            </w:r>
          </w:p>
        </w:tc>
      </w:tr>
      <w:tr w:rsidR="000D706C" w:rsidRPr="00844BE6" w:rsidTr="00B87645">
        <w:trPr>
          <w:trHeight w:val="283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06C" w:rsidRPr="008102C9" w:rsidRDefault="000D706C" w:rsidP="00B87645">
            <w:pPr>
              <w:jc w:val="center"/>
              <w:rPr>
                <w:color w:val="000000"/>
              </w:rPr>
            </w:pPr>
            <w:r w:rsidRPr="008102C9">
              <w:rPr>
                <w:color w:val="000000"/>
              </w:rPr>
              <w:t>…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06C" w:rsidRPr="00A760B0" w:rsidRDefault="000D706C" w:rsidP="00B87645">
            <w:pPr>
              <w:spacing w:before="100" w:beforeAutospacing="1" w:after="100" w:afterAutospacing="1"/>
              <w:rPr>
                <w:b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06C" w:rsidRPr="00844BE6" w:rsidRDefault="000D706C" w:rsidP="00B87645">
            <w:pPr>
              <w:rPr>
                <w:color w:val="000000"/>
              </w:rPr>
            </w:pPr>
            <w:r w:rsidRPr="00844BE6">
              <w:rPr>
                <w:color w:val="000000"/>
              </w:rPr>
              <w:t> </w:t>
            </w:r>
          </w:p>
        </w:tc>
      </w:tr>
    </w:tbl>
    <w:p w:rsidR="000D706C" w:rsidRPr="00DB6385" w:rsidRDefault="000D706C" w:rsidP="000D706C">
      <w:pPr>
        <w:spacing w:after="200"/>
        <w:jc w:val="center"/>
        <w:rPr>
          <w:rFonts w:eastAsia="Calibri"/>
          <w:lang w:eastAsia="en-US"/>
        </w:rPr>
      </w:pPr>
    </w:p>
    <w:p w:rsidR="000D706C" w:rsidRPr="00DB6385" w:rsidRDefault="000D706C" w:rsidP="000D706C">
      <w:pPr>
        <w:jc w:val="center"/>
        <w:rPr>
          <w:rFonts w:eastAsia="Calibri"/>
          <w:b/>
          <w:lang w:eastAsia="en-US"/>
        </w:rPr>
      </w:pPr>
      <w:r w:rsidRPr="00DB6385">
        <w:rPr>
          <w:rFonts w:eastAsia="Calibri"/>
          <w:b/>
          <w:lang w:eastAsia="en-US"/>
        </w:rPr>
        <w:t>Расчет №2</w:t>
      </w:r>
    </w:p>
    <w:p w:rsidR="000D706C" w:rsidRPr="00DB6385" w:rsidRDefault="000D706C" w:rsidP="000D706C">
      <w:pPr>
        <w:jc w:val="center"/>
        <w:rPr>
          <w:rFonts w:eastAsia="Calibri"/>
          <w:lang w:eastAsia="en-US"/>
        </w:rPr>
      </w:pPr>
      <w:r w:rsidRPr="00DB6385">
        <w:rPr>
          <w:rFonts w:eastAsia="Calibri"/>
          <w:lang w:eastAsia="en-US"/>
        </w:rPr>
        <w:t>Затрат, включаемых в калькуляцию по статье «Затраты на оплату труда»</w:t>
      </w:r>
    </w:p>
    <w:p w:rsidR="000D706C" w:rsidRPr="00DB6385" w:rsidRDefault="000D706C" w:rsidP="000D706C">
      <w:pPr>
        <w:rPr>
          <w:rFonts w:eastAsia="Calibri"/>
          <w:lang w:eastAsia="en-US"/>
        </w:rPr>
      </w:pP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701"/>
        <w:gridCol w:w="1843"/>
        <w:gridCol w:w="1418"/>
        <w:gridCol w:w="1984"/>
      </w:tblGrid>
      <w:tr w:rsidR="000D706C" w:rsidRPr="00DB6385" w:rsidTr="00B87645">
        <w:tc>
          <w:tcPr>
            <w:tcW w:w="567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276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Исполнители работ (должность)</w:t>
            </w:r>
          </w:p>
        </w:tc>
        <w:tc>
          <w:tcPr>
            <w:tcW w:w="992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Кол-во исполнителей, чел.</w:t>
            </w:r>
          </w:p>
        </w:tc>
        <w:tc>
          <w:tcPr>
            <w:tcW w:w="1701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Нормативная трудоемкость, чел.-час</w:t>
            </w:r>
          </w:p>
        </w:tc>
        <w:tc>
          <w:tcPr>
            <w:tcW w:w="1843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Ступень оплаты труда (квалификационные разряды)</w:t>
            </w:r>
          </w:p>
        </w:tc>
        <w:tc>
          <w:tcPr>
            <w:tcW w:w="1418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 xml:space="preserve">Часовая заработная плата, </w:t>
            </w:r>
            <w:proofErr w:type="spellStart"/>
            <w:r w:rsidRPr="00DB6385">
              <w:rPr>
                <w:rFonts w:eastAsia="Calibri"/>
                <w:lang w:eastAsia="en-US"/>
              </w:rPr>
              <w:t>руб</w:t>
            </w:r>
            <w:proofErr w:type="spellEnd"/>
            <w:r w:rsidRPr="00DB6385">
              <w:rPr>
                <w:rFonts w:eastAsia="Calibri"/>
                <w:lang w:eastAsia="en-US"/>
              </w:rPr>
              <w:t>/час</w:t>
            </w:r>
          </w:p>
        </w:tc>
        <w:tc>
          <w:tcPr>
            <w:tcW w:w="1984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lang w:eastAsia="en-US"/>
              </w:rPr>
            </w:pPr>
            <w:r w:rsidRPr="00DB6385">
              <w:rPr>
                <w:rFonts w:eastAsia="Calibri"/>
                <w:lang w:eastAsia="en-US"/>
              </w:rPr>
              <w:t>Затраты на оплату труда, руб. (гр.3*гр4*гр.6)</w:t>
            </w:r>
          </w:p>
        </w:tc>
      </w:tr>
      <w:tr w:rsidR="000D706C" w:rsidRPr="00DB6385" w:rsidTr="00B87645">
        <w:trPr>
          <w:trHeight w:val="371"/>
        </w:trPr>
        <w:tc>
          <w:tcPr>
            <w:tcW w:w="567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  <w:r w:rsidRPr="00DB6385">
              <w:rPr>
                <w:rFonts w:eastAsia="Calibri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</w:tr>
      <w:tr w:rsidR="000D706C" w:rsidRPr="00DB6385" w:rsidTr="00B87645">
        <w:trPr>
          <w:trHeight w:val="561"/>
        </w:trPr>
        <w:tc>
          <w:tcPr>
            <w:tcW w:w="567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  <w:r w:rsidRPr="00DB6385">
              <w:rPr>
                <w:rFonts w:eastAsia="Calibri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</w:tr>
      <w:tr w:rsidR="000D706C" w:rsidRPr="00DB6385" w:rsidTr="00B87645">
        <w:trPr>
          <w:trHeight w:val="555"/>
        </w:trPr>
        <w:tc>
          <w:tcPr>
            <w:tcW w:w="567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…</w:t>
            </w:r>
          </w:p>
        </w:tc>
        <w:tc>
          <w:tcPr>
            <w:tcW w:w="1276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D706C" w:rsidRPr="00DB6385" w:rsidRDefault="000D706C" w:rsidP="00B87645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D706C" w:rsidRPr="00DB6385" w:rsidRDefault="000D706C" w:rsidP="00B87645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</w:tr>
      <w:tr w:rsidR="000D706C" w:rsidRPr="00DB6385" w:rsidTr="00B87645">
        <w:trPr>
          <w:trHeight w:val="415"/>
        </w:trPr>
        <w:tc>
          <w:tcPr>
            <w:tcW w:w="7797" w:type="dxa"/>
            <w:gridSpan w:val="6"/>
            <w:vAlign w:val="bottom"/>
          </w:tcPr>
          <w:p w:rsidR="000D706C" w:rsidRPr="00DB6385" w:rsidRDefault="000D706C" w:rsidP="00B87645">
            <w:pPr>
              <w:rPr>
                <w:rFonts w:eastAsia="Calibri"/>
                <w:color w:val="000000"/>
                <w:szCs w:val="22"/>
                <w:lang w:eastAsia="en-US"/>
              </w:rPr>
            </w:pPr>
            <w:r w:rsidRPr="00DB6385">
              <w:rPr>
                <w:rFonts w:eastAsia="Calibri"/>
                <w:color w:val="000000"/>
                <w:szCs w:val="22"/>
                <w:lang w:eastAsia="en-US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0D706C" w:rsidRPr="00DB6385" w:rsidRDefault="000D706C" w:rsidP="00B87645">
            <w:pPr>
              <w:jc w:val="right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0D706C" w:rsidRDefault="000D706C" w:rsidP="000D706C"/>
    <w:p w:rsidR="0042202B" w:rsidRDefault="0042202B"/>
    <w:sectPr w:rsidR="0042202B" w:rsidSect="00710B53">
      <w:footnotePr>
        <w:pos w:val="beneathText"/>
      </w:footnotePr>
      <w:endnotePr>
        <w:numFmt w:val="decimal"/>
      </w:endnotePr>
      <w:pgSz w:w="11906" w:h="16838"/>
      <w:pgMar w:top="737" w:right="851" w:bottom="102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8493C"/>
    <w:multiLevelType w:val="hybridMultilevel"/>
    <w:tmpl w:val="2A1E4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06C"/>
    <w:rsid w:val="000D706C"/>
    <w:rsid w:val="0042202B"/>
    <w:rsid w:val="004F727B"/>
    <w:rsid w:val="00B04961"/>
    <w:rsid w:val="00F9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422F7-B572-4130-A3B5-6AF6B94E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06C"/>
    <w:pPr>
      <w:ind w:left="708"/>
    </w:pPr>
  </w:style>
  <w:style w:type="table" w:styleId="a4">
    <w:name w:val="Table Grid"/>
    <w:basedOn w:val="a1"/>
    <w:uiPriority w:val="59"/>
    <w:rsid w:val="000D7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Dobycha Noyabrsk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Дудник Алексей Олегович</dc:creator>
  <cp:keywords/>
  <dc:description/>
  <cp:lastModifiedBy>Горбенко Ирина Васильевна</cp:lastModifiedBy>
  <cp:revision>2</cp:revision>
  <dcterms:created xsi:type="dcterms:W3CDTF">2019-07-19T03:32:00Z</dcterms:created>
  <dcterms:modified xsi:type="dcterms:W3CDTF">2019-07-19T03:32:00Z</dcterms:modified>
</cp:coreProperties>
</file>